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98"/>
        <w:spacing w:before="387" w:line="219" w:lineRule="auto"/>
        <w:rPr>
          <w:rFonts w:ascii="SimSun" w:hAnsi="SimSun" w:eastAsia="SimSun" w:cs="SimSun"/>
          <w:sz w:val="119"/>
          <w:szCs w:val="119"/>
        </w:rPr>
      </w:pPr>
      <w:r>
        <w:rPr>
          <w:rFonts w:ascii="SimSun" w:hAnsi="SimSun" w:eastAsia="SimSun" w:cs="SimSun"/>
          <w:sz w:val="119"/>
          <w:szCs w:val="119"/>
          <w:b/>
          <w:bCs/>
          <w:color w:val="F51800"/>
          <w:spacing w:val="-77"/>
          <w:w w:val="53"/>
        </w:rPr>
        <w:t>山东省国家知识产权保护中心文件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2699"/>
        <w:spacing w:before="107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8"/>
        </w:rPr>
        <w:t>鲁知保中心字(2023)24号</w:t>
      </w:r>
    </w:p>
    <w:p>
      <w:pPr>
        <w:spacing w:before="56" w:line="60" w:lineRule="exact"/>
        <w:textAlignment w:val="center"/>
        <w:rPr/>
      </w:pPr>
      <w:r>
        <w:drawing>
          <wp:inline distT="0" distB="0" distL="0" distR="0">
            <wp:extent cx="5816587" cy="3806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16587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left="426" w:right="133" w:hanging="220"/>
        <w:spacing w:before="152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34"/>
        </w:rPr>
        <w:t>关于印发《山东省国家知识产权保护中心备案</w:t>
      </w:r>
      <w:r>
        <w:rPr>
          <w:rFonts w:ascii="SimSun" w:hAnsi="SimSun" w:eastAsia="SimSun" w:cs="SimSun"/>
          <w:sz w:val="47"/>
          <w:szCs w:val="47"/>
        </w:rPr>
        <w:t xml:space="preserve"> </w:t>
      </w:r>
      <w:r>
        <w:rPr>
          <w:rFonts w:ascii="SimSun" w:hAnsi="SimSun" w:eastAsia="SimSun" w:cs="SimSun"/>
          <w:sz w:val="47"/>
          <w:szCs w:val="47"/>
          <w:b/>
          <w:bCs/>
          <w:spacing w:val="-9"/>
        </w:rPr>
        <w:t>主体及代理机构管理办法(修订)》的通知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199"/>
        <w:spacing w:before="108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8"/>
        </w:rPr>
        <w:t>各相关单位：</w:t>
      </w:r>
    </w:p>
    <w:p>
      <w:pPr>
        <w:ind w:left="199" w:right="5" w:firstLine="700"/>
        <w:spacing w:before="196" w:line="313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</w:rPr>
        <w:t>为规范备案主体及代理机构管理工作，提高专利预审服务质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量和效能，推进知识产权领域诚信体系建设，我中心对</w:t>
      </w:r>
      <w:r>
        <w:rPr>
          <w:rFonts w:ascii="FangSong" w:hAnsi="FangSong" w:eastAsia="FangSong" w:cs="FangSong"/>
          <w:sz w:val="33"/>
          <w:szCs w:val="33"/>
          <w:spacing w:val="-14"/>
        </w:rPr>
        <w:t>《山东省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"/>
        </w:rPr>
        <w:t>国家知识产权保护中心备案主体及代理机构管理办法(暂行)》</w:t>
      </w:r>
    </w:p>
    <w:p>
      <w:pPr>
        <w:ind w:left="199"/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进行了修订。现印发给你们，请认真贯彻执行。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4289"/>
        <w:spacing w:before="108" w:line="221" w:lineRule="auto"/>
        <w:rPr>
          <w:rFonts w:ascii="FangSong" w:hAnsi="FangSong" w:eastAsia="FangSong" w:cs="FangSong"/>
          <w:sz w:val="33"/>
          <w:szCs w:val="3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3384526</wp:posOffset>
            </wp:positionH>
            <wp:positionV relativeFrom="paragraph">
              <wp:posOffset>-406480</wp:posOffset>
            </wp:positionV>
            <wp:extent cx="1498654" cy="153674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654" cy="1536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3"/>
          <w:szCs w:val="33"/>
          <w:spacing w:val="-11"/>
        </w:rPr>
        <w:t>山东省国家知识产杖保护中心</w:t>
      </w:r>
    </w:p>
    <w:p>
      <w:pPr>
        <w:ind w:left="5019"/>
        <w:spacing w:before="239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1"/>
        </w:rPr>
        <w:t>2023年10月10日</w:t>
      </w:r>
    </w:p>
    <w:p>
      <w:pPr>
        <w:sectPr>
          <w:footerReference w:type="default" r:id="rId1"/>
          <w:pgSz w:w="11910" w:h="16840"/>
          <w:pgMar w:top="1431" w:right="1400" w:bottom="1082" w:left="1349" w:header="0" w:footer="754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159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山东省国家知识产权保护中心</w:t>
      </w:r>
    </w:p>
    <w:p>
      <w:pPr>
        <w:ind w:left="666"/>
        <w:spacing w:before="25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13"/>
        </w:rPr>
        <w:t>备案主体及代理机构管理办法(修订)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3454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第一章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总则</w:t>
      </w:r>
    </w:p>
    <w:p>
      <w:pPr>
        <w:ind w:firstLine="664"/>
        <w:spacing w:before="188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第一条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为更好发挥专利预审服务对山东省知识产权工作的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促进作用，推进知识产权领域诚信体系建设，提升山东省国家知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识产权保护中心(以下简称山东保护中心)专利预审服务质量和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效率，根据《关于开展知识产权快速协同保护工作的</w:t>
      </w:r>
      <w:r>
        <w:rPr>
          <w:rFonts w:ascii="FangSong" w:hAnsi="FangSong" w:eastAsia="FangSong" w:cs="FangSong"/>
          <w:sz w:val="31"/>
          <w:szCs w:val="31"/>
          <w:spacing w:val="10"/>
        </w:rPr>
        <w:t>通知》(国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知发管字〔2016〕92号)、《专利领域严重失信联合惩戒对</w:t>
      </w:r>
      <w:r>
        <w:rPr>
          <w:rFonts w:ascii="FangSong" w:hAnsi="FangSong" w:eastAsia="FangSong" w:cs="FangSong"/>
          <w:sz w:val="31"/>
          <w:szCs w:val="31"/>
          <w:spacing w:val="19"/>
        </w:rPr>
        <w:t>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名单管理办法(试行)》</w:t>
      </w:r>
      <w:r>
        <w:rPr>
          <w:rFonts w:ascii="FangSong" w:hAnsi="FangSong" w:eastAsia="FangSong" w:cs="FangSong"/>
          <w:sz w:val="31"/>
          <w:szCs w:val="31"/>
          <w:spacing w:val="1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(国知发保字〔2019〕52号)、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《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场监督管理严重违法失信名单管理办法》(国家市场监督</w:t>
      </w:r>
      <w:r>
        <w:rPr>
          <w:rFonts w:ascii="FangSong" w:hAnsi="FangSong" w:eastAsia="FangSong" w:cs="FangSong"/>
          <w:sz w:val="31"/>
          <w:szCs w:val="31"/>
          <w:spacing w:val="10"/>
        </w:rPr>
        <w:t>管理总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局令第44号)、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《关于规范申请专利行为的办法》</w:t>
      </w:r>
      <w:r>
        <w:rPr>
          <w:rFonts w:ascii="FangSong" w:hAnsi="FangSong" w:eastAsia="FangSong" w:cs="FangSong"/>
          <w:sz w:val="31"/>
          <w:szCs w:val="31"/>
          <w:spacing w:val="1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(国家知识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产权局公告第411号)、</w:t>
      </w:r>
      <w:r>
        <w:rPr>
          <w:rFonts w:ascii="FangSong" w:hAnsi="FangSong" w:eastAsia="FangSong" w:cs="FangSong"/>
          <w:sz w:val="31"/>
          <w:szCs w:val="31"/>
          <w:spacing w:val="1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《专利、商标代理行业违法违规行为协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同治理办法》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(国知办发运字〔2021〕31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号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、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《专利代理条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例》、《专利代理管理办法》(国家市场监督</w:t>
      </w:r>
      <w:r>
        <w:rPr>
          <w:rFonts w:ascii="FangSong" w:hAnsi="FangSong" w:eastAsia="FangSong" w:cs="FangSong"/>
          <w:sz w:val="31"/>
          <w:szCs w:val="31"/>
          <w:spacing w:val="3"/>
        </w:rPr>
        <w:t>管理总局令第6号)、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《专利申请预审业务管理办法(试行)》(国知办发办字(2023)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25号)等文件要求，制定本办法。</w:t>
      </w:r>
    </w:p>
    <w:p>
      <w:pPr>
        <w:ind w:left="664"/>
        <w:spacing w:before="194" w:line="6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  <w:position w:val="22"/>
        </w:rPr>
        <w:t>第二条</w:t>
      </w:r>
      <w:r>
        <w:rPr>
          <w:rFonts w:ascii="FangSong" w:hAnsi="FangSong" w:eastAsia="FangSong" w:cs="FangSong"/>
          <w:sz w:val="31"/>
          <w:szCs w:val="31"/>
          <w:spacing w:val="16"/>
          <w:position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22"/>
        </w:rPr>
        <w:t>本办法适用于山东保护中心开展的发明、实用新型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和外观设计等专利申请预审工作管理。</w:t>
      </w:r>
    </w:p>
    <w:p>
      <w:pPr>
        <w:ind w:left="664"/>
        <w:spacing w:before="190" w:line="57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  <w:position w:val="19"/>
        </w:rPr>
        <w:t>第三条</w:t>
      </w: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9"/>
        </w:rPr>
        <w:t>本办法所称备案主体是指通过山东保护中心注册备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案审核，并经国家知识产权局核准备案的企事业单位创新主体。</w:t>
      </w:r>
    </w:p>
    <w:p>
      <w:pPr>
        <w:sectPr>
          <w:footerReference w:type="default" r:id="rId4"/>
          <w:pgSz w:w="11910" w:h="16840"/>
          <w:pgMar w:top="1431" w:right="1424" w:bottom="1117" w:left="1539" w:header="0" w:footer="809" w:gutter="0"/>
        </w:sectPr>
        <w:rPr/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spacing w:before="101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0"/>
        </w:rPr>
        <w:t>本办法所称代理机构是指经国家知识产权局批准设立，并通过山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东保护中心注册审核的代理机构。</w:t>
      </w:r>
    </w:p>
    <w:p>
      <w:pPr>
        <w:ind w:right="56" w:firstLine="644"/>
        <w:spacing w:before="184" w:line="34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第四条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山东保护中心负责创新主体的注册备案审核、</w:t>
      </w:r>
      <w:r>
        <w:rPr>
          <w:rFonts w:ascii="FangSong" w:hAnsi="FangSong" w:eastAsia="FangSong" w:cs="FangSong"/>
          <w:sz w:val="31"/>
          <w:szCs w:val="31"/>
          <w:spacing w:val="8"/>
        </w:rPr>
        <w:t>代理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机构的注册审核及后续的管理工作。备案主体可向山东保</w:t>
      </w:r>
      <w:r>
        <w:rPr>
          <w:rFonts w:ascii="FangSong" w:hAnsi="FangSong" w:eastAsia="FangSong" w:cs="FangSong"/>
          <w:sz w:val="31"/>
          <w:szCs w:val="31"/>
          <w:spacing w:val="4"/>
        </w:rPr>
        <w:t>护中心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提交专利预审申请。代理机构可为备案主体提交到山东保</w:t>
      </w:r>
      <w:r>
        <w:rPr>
          <w:rFonts w:ascii="FangSong" w:hAnsi="FangSong" w:eastAsia="FangSong" w:cs="FangSong"/>
          <w:sz w:val="31"/>
          <w:szCs w:val="31"/>
          <w:spacing w:val="4"/>
        </w:rPr>
        <w:t>护中心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的专利预审申请提供代理服务。</w:t>
      </w:r>
    </w:p>
    <w:p>
      <w:pPr>
        <w:ind w:left="644"/>
        <w:spacing w:before="199" w:line="57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  <w:position w:val="19"/>
        </w:rPr>
        <w:t>第五条</w:t>
      </w:r>
      <w:r>
        <w:rPr>
          <w:rFonts w:ascii="FangSong" w:hAnsi="FangSong" w:eastAsia="FangSong" w:cs="FangSong"/>
          <w:sz w:val="31"/>
          <w:szCs w:val="31"/>
          <w:spacing w:val="29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9"/>
        </w:rPr>
        <w:t>备案主体及代理机构管理的总体原则是公平公正、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优质高效、规范有序。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2994"/>
        <w:spacing w:before="102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第二章</w:t>
      </w:r>
      <w:r>
        <w:rPr>
          <w:rFonts w:ascii="SimHei" w:hAnsi="SimHei" w:eastAsia="SimHei" w:cs="SimHei"/>
          <w:sz w:val="31"/>
          <w:szCs w:val="31"/>
          <w:spacing w:val="11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注册、备案</w:t>
      </w:r>
    </w:p>
    <w:p>
      <w:pPr>
        <w:ind w:left="644"/>
        <w:spacing w:before="187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第六条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创新主体申请注册、备案需满足以下条件：</w:t>
      </w:r>
    </w:p>
    <w:p>
      <w:pPr>
        <w:ind w:left="799"/>
        <w:spacing w:before="220" w:line="57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9"/>
        </w:rPr>
        <w:t>(一)登记注册地在山东省行政区域内，且具有独立法人资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格的企业、高校及科研院所等企事业单位；</w:t>
      </w:r>
    </w:p>
    <w:p>
      <w:pPr>
        <w:ind w:right="61" w:firstLine="799"/>
        <w:spacing w:before="199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(二)主要生产、研发或经营方向属于海洋或新一代信息技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术产业领域，产业领域以山东保护中心在国家知识产权局备</w:t>
      </w:r>
      <w:r>
        <w:rPr>
          <w:rFonts w:ascii="FangSong" w:hAnsi="FangSong" w:eastAsia="FangSong" w:cs="FangSong"/>
          <w:sz w:val="31"/>
          <w:szCs w:val="31"/>
          <w:spacing w:val="3"/>
        </w:rPr>
        <w:t>案的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IPC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分类号和洛迦诺分类号为准；</w:t>
      </w:r>
    </w:p>
    <w:p>
      <w:pPr>
        <w:ind w:left="799"/>
        <w:spacing w:before="192" w:line="57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9"/>
        </w:rPr>
        <w:t>(三)具有良好的知识产权工作基础，有稳定的知识产权管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理团队，已建立规范的知识产权管理制度；</w:t>
      </w:r>
    </w:p>
    <w:p>
      <w:pPr>
        <w:ind w:left="799"/>
        <w:spacing w:before="196" w:line="57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9"/>
        </w:rPr>
        <w:t>(四)无恶意专利侵权、非正常申请专利、骗取专利资助等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知识产权领域失信行为或其他不良信用记录。</w:t>
      </w:r>
    </w:p>
    <w:p>
      <w:pPr>
        <w:ind w:left="644"/>
        <w:spacing w:before="206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  <w:position w:val="20"/>
        </w:rPr>
        <w:t>第七条</w:t>
      </w:r>
      <w:r>
        <w:rPr>
          <w:rFonts w:ascii="FangSong" w:hAnsi="FangSong" w:eastAsia="FangSong" w:cs="FangSong"/>
          <w:sz w:val="31"/>
          <w:szCs w:val="31"/>
          <w:spacing w:val="39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20"/>
        </w:rPr>
        <w:t>创新主体在预审管理平台进行注册及备案申请，需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提交以下材料并承诺真实有效：</w:t>
      </w:r>
    </w:p>
    <w:p>
      <w:pPr>
        <w:sectPr>
          <w:footerReference w:type="default" r:id="rId5"/>
          <w:pgSz w:w="11910" w:h="16840"/>
          <w:pgMar w:top="1431" w:right="1445" w:bottom="1177" w:left="1589" w:header="0" w:footer="870" w:gutter="0"/>
        </w:sectPr>
        <w:rPr/>
      </w:pP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799"/>
        <w:spacing w:before="101" w:line="56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9"/>
        </w:rPr>
        <w:t>(一)《山东省国家知识产权保护中心专利快速预审服务备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案申请表》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(加盖公章);</w:t>
      </w:r>
    </w:p>
    <w:p>
      <w:pPr>
        <w:ind w:left="799"/>
        <w:spacing w:before="201" w:line="57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  <w:position w:val="19"/>
        </w:rPr>
        <w:t>(二)企业营业执照复印件或事业单位法人证书复印件(加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9"/>
        </w:rPr>
        <w:t>盖公章);</w:t>
      </w:r>
    </w:p>
    <w:p>
      <w:pPr>
        <w:ind w:left="799"/>
        <w:spacing w:before="192" w:line="57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  <w:position w:val="19"/>
        </w:rPr>
        <w:t>(三)上一年度财务报表中涉及研发投入证明材料(加盖公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章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;</w:t>
      </w:r>
    </w:p>
    <w:p>
      <w:pPr>
        <w:ind w:left="799"/>
        <w:spacing w:before="191" w:line="57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  <w:position w:val="19"/>
        </w:rPr>
        <w:t>(四)在职研发人员情况简介和缴纳社保信息材料(加盖公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章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;</w:t>
      </w:r>
    </w:p>
    <w:p>
      <w:pPr>
        <w:ind w:firstLine="799"/>
        <w:spacing w:before="192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(五)创新主体认为有必要提交的证明材料，包</w:t>
      </w:r>
      <w:r>
        <w:rPr>
          <w:rFonts w:ascii="FangSong" w:hAnsi="FangSong" w:eastAsia="FangSong" w:cs="FangSong"/>
          <w:sz w:val="31"/>
          <w:szCs w:val="31"/>
          <w:spacing w:val="2"/>
        </w:rPr>
        <w:t>括但不限于：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专利申请及授权情况，获得政府部门及认证机构认定的各类资</w:t>
      </w:r>
    </w:p>
    <w:p>
      <w:pPr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质、荣誉等，知识产权转化运用情况等；</w:t>
      </w:r>
    </w:p>
    <w:p>
      <w:pPr>
        <w:ind w:left="799"/>
        <w:spacing w:before="22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(六)山东保护中心要求提供的其他证明材料。</w:t>
      </w:r>
    </w:p>
    <w:p>
      <w:pPr>
        <w:ind w:right="70" w:firstLine="684"/>
        <w:spacing w:before="175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第八条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山东保护中心根据创新主体累计专利有效量，近三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年的专利申请及授权量，专利运用、保护及管理情况，研发创新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能力及资质，信用记录等情况进行综合评估，择优选取创新主体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纳入拟备案名单范围，对于前三年内有专利不诚信行为的企事业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单位的备案请求，不予备案；山东保护中心将拟备案名单提交至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国家知识产权局复核，经核准后定期公布备案主体名单。</w:t>
      </w:r>
    </w:p>
    <w:p>
      <w:pPr>
        <w:ind w:left="684"/>
        <w:spacing w:before="22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第九条</w:t>
      </w:r>
      <w:r>
        <w:rPr>
          <w:rFonts w:ascii="FangSong" w:hAnsi="FangSong" w:eastAsia="FangSong" w:cs="FangSong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代理机构申请注册需满足以下条件：</w:t>
      </w:r>
    </w:p>
    <w:p>
      <w:pPr>
        <w:ind w:left="799"/>
        <w:spacing w:before="225" w:line="57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9"/>
        </w:rPr>
        <w:t>(一)经国家知识产权局批准设立的具有专利代理资格的律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师事务所或专利代理机构等；</w:t>
      </w:r>
    </w:p>
    <w:p>
      <w:pPr>
        <w:ind w:left="799"/>
        <w:spacing w:before="19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(二)在国家知识产权局“专利代理管理系统"中状态为“正</w:t>
      </w:r>
    </w:p>
    <w:p>
      <w:pPr>
        <w:sectPr>
          <w:footerReference w:type="default" r:id="rId6"/>
          <w:pgSz w:w="11910" w:h="16840"/>
          <w:pgMar w:top="1431" w:right="1395" w:bottom="1167" w:left="1579" w:header="0" w:footer="859" w:gutter="0"/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常”;</w:t>
      </w:r>
    </w:p>
    <w:p>
      <w:pPr>
        <w:ind w:left="789"/>
        <w:spacing w:before="214" w:line="57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9"/>
        </w:rPr>
        <w:t>(三)近三年内无违反《专利代理条例》等有关规定的行为，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没有被列入国家知识产权局确定的经营异常名录；</w:t>
      </w:r>
    </w:p>
    <w:p>
      <w:pPr>
        <w:ind w:right="82" w:firstLine="789"/>
        <w:spacing w:before="195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(四)无专利代理违法、专利代理师资格证书挂靠、代理非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正常专利申请、提供虚假材料、骗取专利资助、恶意侵犯知识产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权等知识产权领域失信行为或其他不良信用记</w:t>
      </w:r>
      <w:r>
        <w:rPr>
          <w:rFonts w:ascii="FangSong" w:hAnsi="FangSong" w:eastAsia="FangSong" w:cs="FangSong"/>
          <w:sz w:val="31"/>
          <w:szCs w:val="31"/>
          <w:spacing w:val="7"/>
        </w:rPr>
        <w:t>录。</w:t>
      </w:r>
    </w:p>
    <w:p>
      <w:pPr>
        <w:ind w:left="644"/>
        <w:spacing w:before="187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  <w:position w:val="20"/>
        </w:rPr>
        <w:t>第十条</w:t>
      </w:r>
      <w:r>
        <w:rPr>
          <w:rFonts w:ascii="FangSong" w:hAnsi="FangSong" w:eastAsia="FangSong" w:cs="FangSong"/>
          <w:sz w:val="31"/>
          <w:szCs w:val="31"/>
          <w:spacing w:val="16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20"/>
        </w:rPr>
        <w:t>代理机构在预审管理平台进行注册申请，需提交以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下材料并承诺真实有效：</w:t>
      </w:r>
    </w:p>
    <w:p>
      <w:pPr>
        <w:ind w:left="789"/>
        <w:spacing w:before="221" w:line="56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9"/>
        </w:rPr>
        <w:t>(一)《山东省国家知识产权保护中心专利代理机构注册申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请表》</w:t>
      </w:r>
      <w:r>
        <w:rPr>
          <w:rFonts w:ascii="FangSong" w:hAnsi="FangSong" w:eastAsia="FangSong" w:cs="FangSong"/>
          <w:sz w:val="31"/>
          <w:szCs w:val="31"/>
          <w:spacing w:val="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(加盖公章);</w:t>
      </w:r>
    </w:p>
    <w:p>
      <w:pPr>
        <w:ind w:left="789"/>
        <w:spacing w:before="203" w:line="57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  <w:position w:val="19"/>
        </w:rPr>
        <w:t>(二)营业执照复印件及专利代理机构执业许可证复印件</w:t>
      </w:r>
    </w:p>
    <w:p>
      <w:pPr>
        <w:ind w:left="1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4"/>
        </w:rPr>
        <w:t>(加盖公章);</w:t>
      </w:r>
    </w:p>
    <w:p>
      <w:pPr>
        <w:ind w:left="789"/>
        <w:spacing w:before="19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(三)法定代表人身份证复印件；</w:t>
      </w:r>
    </w:p>
    <w:p>
      <w:pPr>
        <w:ind w:left="789"/>
        <w:spacing w:before="19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(四)山东保护中心要求提供的其他证明材料。</w:t>
      </w:r>
    </w:p>
    <w:p>
      <w:pPr>
        <w:ind w:right="89" w:firstLine="644"/>
        <w:spacing w:before="199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第十一条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经山东保护中心注册审核通过的代理机构方可为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备案主体提供专利预审代理服务。代理机构注册工作的开展方式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和具体时间以山东保护中心的工作通知为准。</w:t>
      </w:r>
    </w:p>
    <w:p>
      <w:pPr>
        <w:ind w:left="644"/>
        <w:spacing w:before="200" w:line="57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  <w:position w:val="19"/>
        </w:rPr>
        <w:t>第十二条</w:t>
      </w:r>
      <w:r>
        <w:rPr>
          <w:rFonts w:ascii="FangSong" w:hAnsi="FangSong" w:eastAsia="FangSong" w:cs="FangSong"/>
          <w:sz w:val="31"/>
          <w:szCs w:val="31"/>
          <w:spacing w:val="23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9"/>
        </w:rPr>
        <w:t>备案主体及代理机构应保证单位名称、统一社会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信用代码、联系方式等信息的准确性。</w:t>
      </w:r>
    </w:p>
    <w:p>
      <w:pPr>
        <w:ind w:right="78" w:firstLine="640"/>
        <w:spacing w:before="231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企业营业执照或事业单位法人证书中单位名称信息发生变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更的，应及时提交登记机关出具的变更材料和变更后的企业营业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执照或事业单位法人证书复印件，相关材料须加盖公章。</w:t>
      </w:r>
    </w:p>
    <w:p>
      <w:pPr>
        <w:sectPr>
          <w:footerReference w:type="default" r:id="rId7"/>
          <w:pgSz w:w="11910" w:h="16840"/>
          <w:pgMar w:top="1431" w:right="1374" w:bottom="1175" w:left="1599" w:header="0" w:footer="870" w:gutter="0"/>
        </w:sectPr>
        <w:rPr/>
      </w:pP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right="49" w:firstLine="670"/>
        <w:spacing w:before="98" w:line="34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单位名称变更审核合格前，备案主体及代理机构不得提交专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利预审服务申请。其他信息发生变更的，备案主体及代理机构</w:t>
      </w:r>
      <w:r>
        <w:rPr>
          <w:rFonts w:ascii="FangSong" w:hAnsi="FangSong" w:eastAsia="FangSong" w:cs="FangSong"/>
          <w:sz w:val="30"/>
          <w:szCs w:val="30"/>
          <w:spacing w:val="13"/>
        </w:rPr>
        <w:t>应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于七日内及时更新。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2534"/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5"/>
        </w:rPr>
        <w:t>第三章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b/>
          <w:bCs/>
          <w:spacing w:val="15"/>
        </w:rPr>
        <w:t>专利预审服务管理</w:t>
      </w:r>
    </w:p>
    <w:p>
      <w:pPr>
        <w:ind w:right="9" w:firstLine="674"/>
        <w:spacing w:before="209" w:line="35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9"/>
        </w:rPr>
        <w:t>第十三条</w:t>
      </w:r>
      <w:r>
        <w:rPr>
          <w:rFonts w:ascii="FangSong" w:hAnsi="FangSong" w:eastAsia="FangSong" w:cs="FangSong"/>
          <w:sz w:val="30"/>
          <w:szCs w:val="30"/>
          <w:spacing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备案主体及代理机构要积极配合山东保护中心专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利预审服务工作，遵守专利预审服务相关管理规定，</w:t>
      </w:r>
      <w:r>
        <w:rPr>
          <w:rFonts w:ascii="FangSong" w:hAnsi="FangSong" w:eastAsia="FangSong" w:cs="FangSong"/>
          <w:sz w:val="30"/>
          <w:szCs w:val="30"/>
          <w:spacing w:val="15"/>
        </w:rPr>
        <w:t>及时跟进专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利预审服务事项，积极参加山东保护中心组织的培训、座谈等相</w:t>
      </w:r>
    </w:p>
    <w:p>
      <w:pPr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关活动。</w:t>
      </w:r>
    </w:p>
    <w:p>
      <w:pPr>
        <w:ind w:left="674"/>
        <w:spacing w:before="200" w:line="57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9"/>
          <w:position w:val="20"/>
        </w:rPr>
        <w:t>第十四条</w:t>
      </w:r>
      <w:r>
        <w:rPr>
          <w:rFonts w:ascii="FangSong" w:hAnsi="FangSong" w:eastAsia="FangSong" w:cs="FangSong"/>
          <w:sz w:val="30"/>
          <w:szCs w:val="30"/>
          <w:spacing w:val="28"/>
          <w:position w:val="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  <w:position w:val="20"/>
        </w:rPr>
        <w:t>备案主体及代理机构要自觉遵守各级知识产权行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政管理部门关于信用建设、知识产权管理等相关规定。</w:t>
      </w:r>
    </w:p>
    <w:p>
      <w:pPr>
        <w:ind w:firstLine="674"/>
        <w:spacing w:before="207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9"/>
        </w:rPr>
        <w:t>第十五条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备案主体及代理机构要自觉遵守《山</w:t>
      </w:r>
      <w:r>
        <w:rPr>
          <w:rFonts w:ascii="FangSong" w:hAnsi="FangSong" w:eastAsia="FangSong" w:cs="FangSong"/>
          <w:sz w:val="30"/>
          <w:szCs w:val="30"/>
          <w:spacing w:val="18"/>
        </w:rPr>
        <w:t>东省国家知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识产权保护中心专利申请快速预审服务承诺书(试行</w:t>
      </w:r>
      <w:r>
        <w:rPr>
          <w:rFonts w:ascii="FangSong" w:hAnsi="FangSong" w:eastAsia="FangSong" w:cs="FangSong"/>
          <w:sz w:val="30"/>
          <w:szCs w:val="30"/>
          <w:spacing w:val="30"/>
        </w:rPr>
        <w:t>)》(以下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简称《承诺书》)和《山东省国家知识产权保护中心专利申请快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</w:rPr>
        <w:t>速预审服务申请须知(试行)》</w:t>
      </w:r>
      <w:r>
        <w:rPr>
          <w:rFonts w:ascii="FangSong" w:hAnsi="FangSong" w:eastAsia="FangSong" w:cs="FangSong"/>
          <w:sz w:val="30"/>
          <w:szCs w:val="30"/>
          <w:spacing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5"/>
        </w:rPr>
        <w:t>(以下简称《申请须知》)的规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定，以及山东保护中心关于专利申请及预审的</w:t>
      </w:r>
      <w:r>
        <w:rPr>
          <w:rFonts w:ascii="FangSong" w:hAnsi="FangSong" w:eastAsia="FangSong" w:cs="FangSong"/>
          <w:sz w:val="30"/>
          <w:szCs w:val="30"/>
          <w:spacing w:val="14"/>
        </w:rPr>
        <w:t>政策要求，不存在</w:t>
      </w:r>
    </w:p>
    <w:p>
      <w:pPr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</w:rPr>
        <w:t>本办法“负面行为清单”</w:t>
      </w:r>
      <w:r>
        <w:rPr>
          <w:rFonts w:ascii="FangSong" w:hAnsi="FangSong" w:eastAsia="FangSong" w:cs="FangSong"/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</w:rPr>
        <w:t>(详见附件1)中规定的情形。</w:t>
      </w:r>
    </w:p>
    <w:p>
      <w:pPr>
        <w:ind w:right="13" w:firstLine="674"/>
        <w:spacing w:before="208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8"/>
        </w:rPr>
        <w:t>第十六条</w:t>
      </w:r>
      <w:r>
        <w:rPr>
          <w:rFonts w:ascii="FangSong" w:hAnsi="FangSong" w:eastAsia="FangSong" w:cs="FangSong"/>
          <w:sz w:val="30"/>
          <w:szCs w:val="30"/>
          <w:spacing w:val="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备案主体及代理机构要保证所提供的材料真实有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效，包括但不限于注册备案申请材料、专利预审申请材料、预审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文件自检表(详见附件2)、著录项目变更证明材料</w:t>
      </w:r>
      <w:r>
        <w:rPr>
          <w:rFonts w:ascii="FangSong" w:hAnsi="FangSong" w:eastAsia="FangSong" w:cs="FangSong"/>
          <w:sz w:val="30"/>
          <w:szCs w:val="30"/>
          <w:spacing w:val="30"/>
        </w:rPr>
        <w:t>、生产研发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能力及共同研发证明材料等。</w:t>
      </w:r>
    </w:p>
    <w:p>
      <w:pPr>
        <w:ind w:left="674"/>
        <w:spacing w:before="21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9"/>
        </w:rPr>
        <w:t>第十七条</w:t>
      </w:r>
      <w:r>
        <w:rPr>
          <w:rFonts w:ascii="FangSong" w:hAnsi="FangSong" w:eastAsia="FangSong" w:cs="FangSong"/>
          <w:sz w:val="30"/>
          <w:szCs w:val="30"/>
          <w:spacing w:val="4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备案主体及代理机构应按要求规范各阶段操作流</w:t>
      </w:r>
    </w:p>
    <w:p>
      <w:pPr>
        <w:sectPr>
          <w:footerReference w:type="default" r:id="rId8"/>
          <w:pgSz w:w="11910" w:h="16840"/>
          <w:pgMar w:top="1431" w:right="1467" w:bottom="1170" w:left="1579" w:header="0" w:footer="872" w:gutter="0"/>
        </w:sectPr>
        <w:rPr/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24"/>
        <w:spacing w:before="101" w:line="57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9"/>
        </w:rPr>
        <w:t>程，包括但不限于及时答复预审意见、按时提交申请号、及时办</w:t>
      </w:r>
    </w:p>
    <w:p>
      <w:pPr>
        <w:ind w:left="24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理登记手续、主动做好专利权转让报备等。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left="3179"/>
        <w:spacing w:before="100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第四章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信用管理</w:t>
      </w:r>
    </w:p>
    <w:p>
      <w:pPr>
        <w:ind w:left="24" w:right="44" w:firstLine="644"/>
        <w:spacing w:before="186" w:line="34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第十八条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山东保护中心对备案主体及代理机构进行分级管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理，根据年度专利预审申请数量及质量情况、配合审查情况、负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面行为情况、信用记录情况等进行评分，按照评分由高到低分别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给予红、白、灰、黑标识并予以公示，作为后续采取管理措施的</w:t>
      </w:r>
    </w:p>
    <w:p>
      <w:pPr>
        <w:ind w:left="2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依据，管理措施包括但不限于调整专利预审服务受理配额等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24" w:firstLine="644"/>
        <w:spacing w:before="193" w:line="34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第十九条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山东保护中心按照知识产权领域信用体系建设相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关要求，建立与有关部门或单位间的信用信息互通机制，加强</w:t>
      </w:r>
      <w:r>
        <w:rPr>
          <w:rFonts w:ascii="FangSong" w:hAnsi="FangSong" w:eastAsia="FangSong" w:cs="FangSong"/>
          <w:sz w:val="31"/>
          <w:szCs w:val="31"/>
          <w:spacing w:val="3"/>
        </w:rPr>
        <w:t>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备案主体及代理机构的信用管理，规范专利预审服务相关行为，</w:t>
      </w:r>
    </w:p>
    <w:p>
      <w:pPr>
        <w:ind w:left="24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建立“负面行为清单”和“黑名单”制度。</w:t>
      </w:r>
    </w:p>
    <w:p>
      <w:pPr>
        <w:ind w:left="24" w:right="14" w:firstLine="644"/>
        <w:spacing w:before="196" w:line="34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第二十条</w:t>
      </w:r>
      <w:r>
        <w:rPr>
          <w:rFonts w:ascii="FangSong" w:hAnsi="FangSong" w:eastAsia="FangSong" w:cs="FangSong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备案主体或代理机构存在“负面行为清单”中的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行为，屡次发生或情节严重的，山东保护中心应将其列入“黑名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单”,并将相关事由、证据等呈报有关部门或单位作为认定其失</w:t>
      </w:r>
    </w:p>
    <w:p>
      <w:pPr>
        <w:ind w:left="24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信行为的依据。</w:t>
      </w:r>
    </w:p>
    <w:p>
      <w:pPr>
        <w:ind w:right="12" w:firstLine="669"/>
        <w:spacing w:before="196" w:line="34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第二十一条</w:t>
      </w:r>
      <w:r>
        <w:rPr>
          <w:rFonts w:ascii="FangSong" w:hAnsi="FangSong" w:eastAsia="FangSong" w:cs="FangSong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备案主体或代理机构存在有关部门或单位认定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的严重失信行为或知识产权领域失信行为的，</w:t>
      </w:r>
      <w:r>
        <w:rPr>
          <w:rFonts w:ascii="FangSong" w:hAnsi="FangSong" w:eastAsia="FangSong" w:cs="FangSong"/>
          <w:sz w:val="31"/>
          <w:szCs w:val="31"/>
          <w:spacing w:val="5"/>
        </w:rPr>
        <w:t>视同上述行为属于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“负面行为清单”中的负面行为，屡次发生或情节严重的，山东</w:t>
      </w:r>
    </w:p>
    <w:p>
      <w:pPr>
        <w:ind w:left="24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保护中心应将其列入“黑名单”。</w:t>
      </w:r>
    </w:p>
    <w:p>
      <w:pPr>
        <w:ind w:left="669"/>
        <w:spacing w:before="19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第二十二条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根据本办法第十八条的规定，标识为</w:t>
      </w:r>
      <w:r>
        <w:rPr>
          <w:rFonts w:ascii="FangSong" w:hAnsi="FangSong" w:eastAsia="FangSong" w:cs="FangSong"/>
          <w:sz w:val="31"/>
          <w:szCs w:val="31"/>
          <w:spacing w:val="10"/>
        </w:rPr>
        <w:t>黑的备案</w:t>
      </w:r>
    </w:p>
    <w:p>
      <w:pPr>
        <w:sectPr>
          <w:footerReference w:type="default" r:id="rId9"/>
          <w:pgSz w:w="11910" w:h="16840"/>
          <w:pgMar w:top="1431" w:right="1444" w:bottom="1147" w:left="1575" w:header="0" w:footer="881" w:gutter="0"/>
        </w:sectPr>
        <w:rPr/>
      </w:pP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54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主体或代理机构，山东保护中心应将其列入“黑名单”。</w:t>
      </w:r>
    </w:p>
    <w:p>
      <w:pPr>
        <w:ind w:left="709"/>
        <w:spacing w:before="187" w:line="57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  <w:position w:val="19"/>
        </w:rPr>
        <w:t>第二十三条</w:t>
      </w:r>
      <w:r>
        <w:rPr>
          <w:rFonts w:ascii="FangSong" w:hAnsi="FangSong" w:eastAsia="FangSong" w:cs="FangSong"/>
          <w:sz w:val="31"/>
          <w:szCs w:val="31"/>
          <w:spacing w:val="-14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19"/>
        </w:rPr>
        <w:t>山东保护中心根据实际工作需要，不定期调</w:t>
      </w:r>
      <w:r>
        <w:rPr>
          <w:rFonts w:ascii="FangSong" w:hAnsi="FangSong" w:eastAsia="FangSong" w:cs="FangSong"/>
          <w:sz w:val="31"/>
          <w:szCs w:val="31"/>
          <w:spacing w:val="9"/>
          <w:position w:val="19"/>
        </w:rPr>
        <w:t>整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“负面行为清单”,公示后生效。</w:t>
      </w:r>
    </w:p>
    <w:p>
      <w:pPr>
        <w:ind w:left="54" w:firstLine="654"/>
        <w:spacing w:before="196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第二十四条</w:t>
      </w:r>
      <w:r>
        <w:rPr>
          <w:rFonts w:ascii="FangSong" w:hAnsi="FangSong" w:eastAsia="FangSong" w:cs="FangSong"/>
          <w:sz w:val="31"/>
          <w:szCs w:val="31"/>
          <w:spacing w:val="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“黑名单”列入期限自书面告知之日起一年</w:t>
      </w:r>
      <w:r>
        <w:rPr>
          <w:rFonts w:ascii="FangSong" w:hAnsi="FangSong" w:eastAsia="FangSong" w:cs="FangSong"/>
          <w:sz w:val="31"/>
          <w:szCs w:val="31"/>
          <w:spacing w:val="-2"/>
        </w:rPr>
        <w:t>内，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暂停专利预审服务。期满后，已经履行了相关义务，列入“黑名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单"事由已消除且重新提出书面申请的备案主体或代理机构，经</w:t>
      </w:r>
    </w:p>
    <w:p>
      <w:pPr>
        <w:ind w:left="5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山东保护中心审核通过后可移出“黑名单”。</w:t>
      </w:r>
    </w:p>
    <w:p>
      <w:pPr>
        <w:ind w:left="54" w:right="89" w:firstLine="654"/>
        <w:spacing w:before="196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第二十五条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备案主体或代理机构被认定存在负面行为或列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入“黑名单”的，山东保护中心应书面告知其</w:t>
      </w:r>
      <w:r>
        <w:rPr>
          <w:rFonts w:ascii="FangSong" w:hAnsi="FangSong" w:eastAsia="FangSong" w:cs="FangSong"/>
          <w:sz w:val="31"/>
          <w:szCs w:val="31"/>
          <w:spacing w:val="4"/>
        </w:rPr>
        <w:t>相关事实、依据及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惩戒措施。备案主体或代理机构不服的，可在收到通知之日起七</w:t>
      </w:r>
    </w:p>
    <w:p>
      <w:pPr>
        <w:ind w:left="5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日内向山东保护中心提出申诉。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3219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第五章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惩戒措施</w:t>
      </w:r>
    </w:p>
    <w:p>
      <w:pPr>
        <w:ind w:left="54" w:right="102" w:firstLine="654"/>
        <w:spacing w:before="196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第二十六条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对违反各级知识产权行政管理部门、山东保护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中心关于专利申请及预审服务相关规定或要求，</w:t>
      </w:r>
      <w:r>
        <w:rPr>
          <w:rFonts w:ascii="FangSong" w:hAnsi="FangSong" w:eastAsia="FangSong" w:cs="FangSong"/>
          <w:sz w:val="31"/>
          <w:szCs w:val="31"/>
          <w:spacing w:val="3"/>
        </w:rPr>
        <w:t>存在“负面行为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清单”所列负面行为的备案主体或代理机构，给予相应的惩戒措</w:t>
      </w:r>
    </w:p>
    <w:p>
      <w:pPr>
        <w:ind w:left="54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施，包括警告、暂停服务、列入“黑名单”。</w:t>
      </w:r>
    </w:p>
    <w:p>
      <w:pPr>
        <w:ind w:left="709"/>
        <w:spacing w:before="196" w:line="57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  <w:position w:val="19"/>
        </w:rPr>
        <w:t>第二十七条</w:t>
      </w:r>
      <w:r>
        <w:rPr>
          <w:rFonts w:ascii="FangSong" w:hAnsi="FangSong" w:eastAsia="FangSong" w:cs="FangSong"/>
          <w:sz w:val="31"/>
          <w:szCs w:val="31"/>
          <w:spacing w:val="28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9"/>
        </w:rPr>
        <w:t>备案主体或代理机构存在“负面行为清单”所</w:t>
      </w:r>
    </w:p>
    <w:p>
      <w:pPr>
        <w:ind w:left="5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列第一类负面行为之一的，予以警告。</w:t>
      </w:r>
    </w:p>
    <w:p>
      <w:pPr>
        <w:ind w:left="54" w:right="106" w:firstLine="654"/>
        <w:spacing w:before="197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第二十八条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备案主体或代理机构受到三次及以上警告或存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在“负面行为清单”所列第二类负面行为之一的，山东保</w:t>
      </w:r>
      <w:r>
        <w:rPr>
          <w:rFonts w:ascii="FangSong" w:hAnsi="FangSong" w:eastAsia="FangSong" w:cs="FangSong"/>
          <w:sz w:val="31"/>
          <w:szCs w:val="31"/>
          <w:spacing w:val="4"/>
        </w:rPr>
        <w:t>护中心</w:t>
      </w:r>
    </w:p>
    <w:p>
      <w:pPr>
        <w:ind w:left="54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将对其暂停专利预审服务半年以上。</w:t>
      </w:r>
    </w:p>
    <w:p>
      <w:pPr>
        <w:sectPr>
          <w:footerReference w:type="default" r:id="rId10"/>
          <w:pgSz w:w="11910" w:h="16840"/>
          <w:pgMar w:top="1431" w:right="1395" w:bottom="1157" w:left="1535" w:header="0" w:footer="849" w:gutter="0"/>
        </w:sectPr>
        <w:rPr/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right="179" w:firstLine="664"/>
        <w:spacing w:before="98" w:line="35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8"/>
        </w:rPr>
        <w:t>第二十九条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备案主体或代理机构存在“负面行为清单”所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列第三类负面行为之一的，山东保护中心将对其停止专利预审服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0"/>
        </w:rPr>
        <w:t>务，并列入“黑名单”。</w:t>
      </w:r>
    </w:p>
    <w:p>
      <w:pPr>
        <w:ind w:right="157" w:firstLine="664"/>
        <w:spacing w:before="211" w:line="35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8"/>
        </w:rPr>
        <w:t>第三十条</w:t>
      </w:r>
      <w:r>
        <w:rPr>
          <w:rFonts w:ascii="FangSong" w:hAnsi="FangSong" w:eastAsia="FangSong" w:cs="FangSong"/>
          <w:sz w:val="30"/>
          <w:szCs w:val="30"/>
          <w:spacing w:val="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备案主体或代理机构因本办法第二十八条规定被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暂停专利预审服务，期满后仍存在“负面行为清单”所列负面行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为的，山东保护中心将对其停止专利预审服务，并列入“黑名单”。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3494"/>
        <w:spacing w:before="97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第六章</w:t>
      </w:r>
      <w:r>
        <w:rPr>
          <w:rFonts w:ascii="SimHei" w:hAnsi="SimHei" w:eastAsia="SimHei" w:cs="SimHei"/>
          <w:sz w:val="30"/>
          <w:szCs w:val="30"/>
          <w:spacing w:val="149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附则</w:t>
      </w:r>
    </w:p>
    <w:p>
      <w:pPr>
        <w:ind w:left="664"/>
        <w:spacing w:before="208" w:line="566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8"/>
          <w:position w:val="19"/>
        </w:rPr>
        <w:t>第三十一条</w:t>
      </w:r>
      <w:r>
        <w:rPr>
          <w:rFonts w:ascii="FangSong" w:hAnsi="FangSong" w:eastAsia="FangSong" w:cs="FangSong"/>
          <w:sz w:val="30"/>
          <w:szCs w:val="30"/>
          <w:spacing w:val="22"/>
          <w:position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  <w:position w:val="19"/>
        </w:rPr>
        <w:t>本办法由山东省国家知识产权保护中心负责解</w:t>
      </w:r>
    </w:p>
    <w:p>
      <w:pPr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释。</w:t>
      </w:r>
    </w:p>
    <w:p>
      <w:pPr>
        <w:ind w:left="664"/>
        <w:spacing w:before="192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6"/>
        </w:rPr>
        <w:t>第三十二条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本办法自印发之日起施行。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right="188"/>
        <w:spacing w:before="46" w:line="104" w:lineRule="exact"/>
        <w:jc w:val="right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spacing w:val="-1"/>
          <w:position w:val="1"/>
        </w:rPr>
        <w:t>—</w:t>
      </w:r>
      <w:r>
        <w:rPr>
          <w:rFonts w:ascii="SimHei" w:hAnsi="SimHei" w:eastAsia="SimHei" w:cs="SimHei"/>
          <w:sz w:val="14"/>
          <w:szCs w:val="14"/>
          <w:spacing w:val="10"/>
          <w:position w:val="1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  <w:spacing w:val="-1"/>
          <w:position w:val="1"/>
        </w:rPr>
        <w:t>y</w:t>
      </w:r>
      <w:r>
        <w:rPr>
          <w:rFonts w:ascii="Times New Roman" w:hAnsi="Times New Roman" w:eastAsia="Times New Roman" w:cs="Times New Roman"/>
          <w:sz w:val="14"/>
          <w:szCs w:val="14"/>
          <w:position w:val="1"/>
        </w:rPr>
        <w:t xml:space="preserve">           </w:t>
      </w:r>
      <w:r>
        <w:rPr>
          <w:rFonts w:ascii="Times New Roman" w:hAnsi="Times New Roman" w:eastAsia="Times New Roman" w:cs="Times New Roman"/>
          <w:sz w:val="14"/>
          <w:szCs w:val="14"/>
          <w:spacing w:val="-1"/>
          <w:position w:val="1"/>
        </w:rPr>
        <w:t>-</w:t>
      </w:r>
    </w:p>
    <w:p>
      <w:pPr>
        <w:sectPr>
          <w:footerReference w:type="default" r:id="rId11"/>
          <w:pgSz w:w="11910" w:h="16840"/>
          <w:pgMar w:top="1431" w:right="1320" w:bottom="400" w:left="1609" w:header="0" w:footer="0" w:gutter="0"/>
        </w:sectPr>
        <w:rPr/>
      </w:pP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left="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8"/>
        </w:rPr>
        <w:t>附件1</w:t>
      </w:r>
    </w:p>
    <w:p>
      <w:pPr>
        <w:ind w:left="1136"/>
        <w:spacing w:before="107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备案主体及代理机构负面行为清单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left="634"/>
        <w:spacing w:before="104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一、第一类负面行为</w:t>
      </w:r>
    </w:p>
    <w:p>
      <w:pPr>
        <w:ind w:left="799"/>
        <w:spacing w:before="178" w:line="58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9"/>
        </w:rPr>
        <w:t>(一)备案主体与非备案主体共同申请，但无法提供有效的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共同研发证明材料的；</w:t>
      </w:r>
    </w:p>
    <w:p>
      <w:pPr>
        <w:ind w:left="799"/>
        <w:spacing w:before="189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(二)代理机构为非备案主体提交专利预审申</w:t>
      </w:r>
      <w:r>
        <w:rPr>
          <w:rFonts w:ascii="FangSong" w:hAnsi="FangSong" w:eastAsia="FangSong" w:cs="FangSong"/>
          <w:sz w:val="32"/>
          <w:szCs w:val="32"/>
          <w:spacing w:val="3"/>
        </w:rPr>
        <w:t>请的；</w:t>
      </w:r>
    </w:p>
    <w:p>
      <w:pPr>
        <w:ind w:left="799"/>
        <w:spacing w:before="188" w:line="57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  <w:position w:val="18"/>
        </w:rPr>
        <w:t>(三)备案主体直接提交委托了代理机构的专利预审申请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3"/>
        </w:rPr>
        <w:t>的；</w:t>
      </w:r>
    </w:p>
    <w:p>
      <w:pPr>
        <w:ind w:left="799"/>
        <w:spacing w:before="184" w:line="56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8"/>
        </w:rPr>
        <w:t>(四)预审阶段无正当理由变更发明人，且不</w:t>
      </w:r>
      <w:r>
        <w:rPr>
          <w:rFonts w:ascii="FangSong" w:hAnsi="FangSong" w:eastAsia="FangSong" w:cs="FangSong"/>
          <w:sz w:val="32"/>
          <w:szCs w:val="32"/>
          <w:position w:val="18"/>
        </w:rPr>
        <w:t>能提供有效证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明材料的；</w:t>
      </w:r>
    </w:p>
    <w:p>
      <w:pPr>
        <w:ind w:left="799"/>
        <w:spacing w:before="188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8"/>
        </w:rPr>
        <w:t>(五)提交的专利预审申请明显与备案主体实际生产、</w:t>
      </w:r>
      <w:r>
        <w:rPr>
          <w:rFonts w:ascii="FangSong" w:hAnsi="FangSong" w:eastAsia="FangSong" w:cs="FangSong"/>
          <w:sz w:val="32"/>
          <w:szCs w:val="32"/>
          <w:position w:val="18"/>
        </w:rPr>
        <w:t>研发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或经营能力不符，且不能提供证明材料的；</w:t>
      </w:r>
    </w:p>
    <w:p>
      <w:pPr>
        <w:ind w:left="799"/>
        <w:spacing w:before="189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(六)短时间内集中提交数量过大专利预审申</w:t>
      </w:r>
      <w:r>
        <w:rPr>
          <w:rFonts w:ascii="FangSong" w:hAnsi="FangSong" w:eastAsia="FangSong" w:cs="FangSong"/>
          <w:sz w:val="32"/>
          <w:szCs w:val="32"/>
          <w:spacing w:val="3"/>
        </w:rPr>
        <w:t>请的；</w:t>
      </w:r>
    </w:p>
    <w:p>
      <w:pPr>
        <w:ind w:left="799"/>
        <w:spacing w:before="188" w:line="56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8"/>
        </w:rPr>
        <w:t>(七)代理机构为不同备案主体提交的专利预</w:t>
      </w:r>
      <w:r>
        <w:rPr>
          <w:rFonts w:ascii="FangSong" w:hAnsi="FangSong" w:eastAsia="FangSong" w:cs="FangSong"/>
          <w:sz w:val="32"/>
          <w:szCs w:val="32"/>
          <w:position w:val="18"/>
        </w:rPr>
        <w:t>审申请技术方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案明显存在交叠的；</w:t>
      </w:r>
    </w:p>
    <w:p>
      <w:pPr>
        <w:ind w:left="799"/>
        <w:spacing w:before="192" w:line="56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  <w:position w:val="18"/>
        </w:rPr>
        <w:t>(八)多次(三次及以上)提交明显不属于山东保护中心服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务的产业领域的专利预审申请的；</w:t>
      </w:r>
    </w:p>
    <w:p>
      <w:pPr>
        <w:ind w:left="799"/>
        <w:spacing w:before="188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  <w:position w:val="18"/>
        </w:rPr>
        <w:t>(九)多次提交非</w:t>
      </w:r>
      <w:r>
        <w:rPr>
          <w:rFonts w:ascii="FangSong" w:hAnsi="FangSong" w:eastAsia="FangSong" w:cs="FangSong"/>
          <w:sz w:val="32"/>
          <w:szCs w:val="32"/>
          <w:position w:val="18"/>
        </w:rPr>
        <w:t>XML</w:t>
      </w:r>
      <w:r>
        <w:rPr>
          <w:rFonts w:ascii="FangSong" w:hAnsi="FangSong" w:eastAsia="FangSong" w:cs="FangSong"/>
          <w:sz w:val="32"/>
          <w:szCs w:val="32"/>
          <w:spacing w:val="10"/>
          <w:position w:val="1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8"/>
          <w:position w:val="18"/>
        </w:rPr>
        <w:t>格式的专利预审申请文件或案卷包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不完整从而影响预审工作正常进行的；</w:t>
      </w:r>
    </w:p>
    <w:p>
      <w:pPr>
        <w:ind w:left="799"/>
        <w:spacing w:before="192" w:line="56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position w:val="17"/>
        </w:rPr>
        <w:t>(十)多次提交撰写质量不高、形式问题过多的专利预审申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请，且经过两次修改仍不符合要求的；</w:t>
      </w:r>
    </w:p>
    <w:p>
      <w:pPr>
        <w:sectPr>
          <w:footerReference w:type="default" r:id="rId12"/>
          <w:pgSz w:w="11910" w:h="16840"/>
          <w:pgMar w:top="1431" w:right="1484" w:bottom="1134" w:left="1579" w:header="0" w:footer="845" w:gutter="0"/>
        </w:sectPr>
        <w:rPr/>
      </w:pP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820"/>
        <w:spacing w:before="10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(十一)多次提交存在意识形态问题的专利预审申请的；</w:t>
      </w:r>
    </w:p>
    <w:p>
      <w:pPr>
        <w:ind w:left="820"/>
        <w:spacing w:before="201" w:line="57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9"/>
        </w:rPr>
        <w:t>(十二)提交的专利预审申请质量不高，存在以下情形之</w:t>
      </w:r>
      <w:r>
        <w:rPr>
          <w:rFonts w:ascii="FangSong" w:hAnsi="FangSong" w:eastAsia="FangSong" w:cs="FangSong"/>
          <w:sz w:val="31"/>
          <w:szCs w:val="31"/>
          <w:spacing w:val="11"/>
          <w:position w:val="19"/>
        </w:rPr>
        <w:t>一</w:t>
      </w:r>
    </w:p>
    <w:p>
      <w:pPr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的：</w:t>
      </w:r>
    </w:p>
    <w:p>
      <w:pPr>
        <w:ind w:left="630"/>
        <w:spacing w:before="178" w:line="57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9"/>
        </w:rPr>
        <w:t>1.技术方案明显落后、可靠性不足，不具备</w:t>
      </w:r>
      <w:r>
        <w:rPr>
          <w:rFonts w:ascii="FangSong" w:hAnsi="FangSong" w:eastAsia="FangSong" w:cs="FangSong"/>
          <w:sz w:val="31"/>
          <w:szCs w:val="31"/>
          <w:spacing w:val="3"/>
          <w:position w:val="19"/>
        </w:rPr>
        <w:t>实际应用合理性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的；</w:t>
      </w:r>
    </w:p>
    <w:p>
      <w:pPr>
        <w:ind w:left="630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2.使用复杂、昂贵技术方案解决简单技术问题的；</w:t>
      </w:r>
    </w:p>
    <w:p>
      <w:pPr>
        <w:ind w:left="630"/>
        <w:spacing w:before="201" w:line="56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  <w:position w:val="18"/>
        </w:rPr>
        <w:t>3.权利要求的所有技术方案明显属于现有技术或现有技术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的简单组合、改变的；</w:t>
      </w:r>
    </w:p>
    <w:p>
      <w:pPr>
        <w:ind w:left="630"/>
        <w:spacing w:before="197" w:line="57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4.所要解决的技术问题含糊不清或技术问题不合理、不存在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的；</w:t>
      </w:r>
    </w:p>
    <w:p>
      <w:pPr>
        <w:ind w:left="630"/>
        <w:spacing w:before="192" w:line="57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5.技术问题、技术手段与技术效果之间明显存在逻辑上的不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对应的；</w:t>
      </w:r>
    </w:p>
    <w:p>
      <w:pPr>
        <w:ind w:left="630"/>
        <w:spacing w:before="19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6.技术方案仅为功能性描述或仅仅是设想的；</w:t>
      </w:r>
    </w:p>
    <w:p>
      <w:pPr>
        <w:ind w:left="630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7.技术方案含混不清致使无法理解的；</w:t>
      </w:r>
    </w:p>
    <w:p>
      <w:pPr>
        <w:ind w:left="630"/>
        <w:spacing w:before="193" w:line="57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  <w:position w:val="19"/>
        </w:rPr>
        <w:t>8.两件及以上专利预审申请之间仅涉及技术特征的简单替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换，未解决实质性技术问题，涉嫌拼凑数量的；</w:t>
      </w:r>
    </w:p>
    <w:p>
      <w:pPr>
        <w:ind w:left="630"/>
        <w:spacing w:before="200" w:line="57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9.属于《关于规范申请专利行为的办法》第二条所规定的任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一情形的；</w:t>
      </w:r>
    </w:p>
    <w:p>
      <w:pPr>
        <w:ind w:left="820"/>
        <w:spacing w:before="19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(十三)无正当理由拒不配合专利预审审查的；</w:t>
      </w:r>
    </w:p>
    <w:p>
      <w:pPr>
        <w:ind w:left="820"/>
        <w:spacing w:before="193" w:line="56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19"/>
        </w:rPr>
        <w:t>(十四)对专利预审申请文件过度修改造成技术方案变更，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从而导致预审工作需重启的；</w:t>
      </w:r>
    </w:p>
    <w:p>
      <w:pPr>
        <w:ind w:left="820"/>
        <w:spacing w:before="20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(十五)将已被退回且明显不具备授权前景的专利预审申请</w:t>
      </w:r>
    </w:p>
    <w:p>
      <w:pPr>
        <w:sectPr>
          <w:footerReference w:type="default" r:id="rId13"/>
          <w:pgSz w:w="11910" w:h="16840"/>
          <w:pgMar w:top="1431" w:right="1405" w:bottom="1168" w:left="1579" w:header="0" w:footer="859" w:gutter="0"/>
        </w:sectPr>
        <w:rPr/>
      </w:pP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再次提交或简单修改后再次提交预审的；</w:t>
      </w:r>
    </w:p>
    <w:p>
      <w:pPr>
        <w:ind w:left="769"/>
        <w:spacing w:before="19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(十六)预审阶段提交材料或期限不符合要求的；</w:t>
      </w:r>
    </w:p>
    <w:p>
      <w:pPr>
        <w:ind w:left="769"/>
        <w:spacing w:before="189" w:line="57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9"/>
        </w:rPr>
        <w:t>(十七)在山东保护中心发出预审合格通知书之前，向国家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知识产权局提交正式申请的；</w:t>
      </w:r>
    </w:p>
    <w:p>
      <w:pPr>
        <w:ind w:left="769"/>
        <w:spacing w:before="200" w:line="57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9"/>
        </w:rPr>
        <w:t>(十八)向国家知识产权局正式提交的专利申请文件与预审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合格文件内容不一致的；</w:t>
      </w:r>
    </w:p>
    <w:p>
      <w:pPr>
        <w:ind w:left="769"/>
        <w:spacing w:before="194" w:line="56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9"/>
        </w:rPr>
        <w:t>(十九)收到山东保护中心预审合格通知书后，无正当理由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未按预审合格通知书要求提交正式申请的；</w:t>
      </w:r>
    </w:p>
    <w:p>
      <w:pPr>
        <w:ind w:right="29" w:firstLine="769"/>
        <w:spacing w:before="199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(二十)提交正式申请后未在受理通知书发文日</w:t>
      </w:r>
      <w:r>
        <w:rPr>
          <w:rFonts w:ascii="FangSong" w:hAnsi="FangSong" w:eastAsia="FangSong" w:cs="FangSong"/>
          <w:sz w:val="31"/>
          <w:szCs w:val="31"/>
          <w:spacing w:val="10"/>
        </w:rPr>
        <w:t>当日内完成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电子缴费或未在规定时间内向山东保护中心反馈申请号及缴费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凭证的，因系统原因等不可抗力导致的除外；</w:t>
      </w:r>
    </w:p>
    <w:p>
      <w:pPr>
        <w:ind w:left="769"/>
        <w:spacing w:before="197" w:line="56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(二十一)因备案主体或代理机构过失，导致通过预审的专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利申请不能进入快速审查通道或被移出快速审查通道的；</w:t>
      </w:r>
    </w:p>
    <w:p>
      <w:pPr>
        <w:ind w:left="769"/>
        <w:spacing w:before="199" w:line="57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9"/>
        </w:rPr>
        <w:t>(二十二)未在国家知识产权局发出授予专利权通知书</w:t>
      </w:r>
      <w:r>
        <w:rPr>
          <w:rFonts w:ascii="FangSong" w:hAnsi="FangSong" w:eastAsia="FangSong" w:cs="FangSong"/>
          <w:sz w:val="31"/>
          <w:szCs w:val="31"/>
          <w:spacing w:val="11"/>
          <w:position w:val="19"/>
        </w:rPr>
        <w:t>之日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起20个工作日内完成办理登记手续的；</w:t>
      </w:r>
    </w:p>
    <w:p>
      <w:pPr>
        <w:ind w:left="769"/>
        <w:spacing w:before="201" w:line="56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9"/>
        </w:rPr>
        <w:t>(二十三)未按要求提交预审文件自检表或预审申请文件出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现自检表中问题的；</w:t>
      </w:r>
    </w:p>
    <w:p>
      <w:pPr>
        <w:ind w:left="769"/>
        <w:spacing w:before="199" w:line="5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20"/>
        </w:rPr>
        <w:t>(二十四)存在其他有碍专利预审服务正常开展的不当行为</w:t>
      </w:r>
    </w:p>
    <w:p>
      <w:pPr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的。</w:t>
      </w:r>
    </w:p>
    <w:p>
      <w:pPr>
        <w:ind w:left="654"/>
        <w:spacing w:before="228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二、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第二类负面行为</w:t>
      </w:r>
    </w:p>
    <w:p>
      <w:pPr>
        <w:ind w:left="769"/>
        <w:spacing w:before="173" w:line="58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20"/>
        </w:rPr>
        <w:t>(一)备案主体无技术交底书，委托代理机构编造专利预审</w:t>
      </w:r>
    </w:p>
    <w:p>
      <w:pPr>
        <w:ind w:left="6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申请的；</w:t>
      </w:r>
    </w:p>
    <w:p>
      <w:pPr>
        <w:sectPr>
          <w:footerReference w:type="default" r:id="rId14"/>
          <w:pgSz w:w="11910" w:h="16840"/>
          <w:pgMar w:top="1431" w:right="1489" w:bottom="1158" w:left="1589" w:header="0" w:footer="850" w:gutter="0"/>
        </w:sectPr>
        <w:rPr/>
      </w:pP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789"/>
        <w:spacing w:before="104" w:line="57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8"/>
        </w:rPr>
        <w:t>(二)一年内有国家知识产权局认定为非正常专利申请且申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诉未通过的；</w:t>
      </w:r>
    </w:p>
    <w:p>
      <w:pPr>
        <w:ind w:right="79" w:firstLine="789"/>
        <w:spacing w:before="180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(三)提交专利预审申请材料质量不高，经过</w:t>
      </w:r>
      <w:r>
        <w:rPr>
          <w:rFonts w:ascii="FangSong" w:hAnsi="FangSong" w:eastAsia="FangSong" w:cs="FangSong"/>
          <w:sz w:val="32"/>
          <w:szCs w:val="32"/>
        </w:rPr>
        <w:t>两次修改仍达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不到预期要求，</w:t>
      </w:r>
      <w:r>
        <w:rPr>
          <w:rFonts w:ascii="FangSong" w:hAnsi="FangSong" w:eastAsia="FangSong" w:cs="FangSong"/>
          <w:sz w:val="32"/>
          <w:szCs w:val="32"/>
          <w:spacing w:val="9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一年内此类预审申请占其提交专利预审申请的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50%以上的；</w:t>
      </w:r>
    </w:p>
    <w:p>
      <w:pPr>
        <w:ind w:left="789"/>
        <w:spacing w:before="183" w:line="56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8"/>
        </w:rPr>
        <w:t>(四)将已经通过普通途径向国家知识产权局提交的专</w:t>
      </w:r>
      <w:r>
        <w:rPr>
          <w:rFonts w:ascii="FangSong" w:hAnsi="FangSong" w:eastAsia="FangSong" w:cs="FangSong"/>
          <w:sz w:val="32"/>
          <w:szCs w:val="32"/>
          <w:position w:val="18"/>
        </w:rPr>
        <w:t>利申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请提交预审申请的；</w:t>
      </w:r>
    </w:p>
    <w:p>
      <w:pPr>
        <w:ind w:left="789"/>
        <w:spacing w:before="188" w:line="57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8"/>
        </w:rPr>
        <w:t>(五)通过预审的专利申请未按照国家知识产权局的要</w:t>
      </w:r>
      <w:r>
        <w:rPr>
          <w:rFonts w:ascii="FangSong" w:hAnsi="FangSong" w:eastAsia="FangSong" w:cs="FangSong"/>
          <w:sz w:val="32"/>
          <w:szCs w:val="32"/>
          <w:position w:val="18"/>
        </w:rPr>
        <w:t>求按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时办理登记手续导致视为放弃取得专利权的；</w:t>
      </w:r>
    </w:p>
    <w:p>
      <w:pPr>
        <w:ind w:right="50" w:firstLine="789"/>
        <w:spacing w:before="180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(六)代理机构在国家知识产权局“专利代理管</w:t>
      </w:r>
      <w:r>
        <w:rPr>
          <w:rFonts w:ascii="FangSong" w:hAnsi="FangSong" w:eastAsia="FangSong" w:cs="FangSong"/>
          <w:sz w:val="32"/>
          <w:szCs w:val="32"/>
        </w:rPr>
        <w:t>理系统”中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处于异常状态，或因违反《专利代理条例》、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7"/>
        </w:rPr>
        <w:t>《专利代理管理办</w:t>
      </w:r>
    </w:p>
    <w:p>
      <w:pPr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法》规定而受到行政处罚，且行政处罚结果在公示期的；</w:t>
      </w:r>
    </w:p>
    <w:p>
      <w:pPr>
        <w:ind w:left="789"/>
        <w:spacing w:before="19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(七)干扰或不配合专利预审相关工作的；</w:t>
      </w:r>
    </w:p>
    <w:p>
      <w:pPr>
        <w:ind w:left="789"/>
        <w:spacing w:before="187" w:line="60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position w:val="21"/>
        </w:rPr>
        <w:t>(八)存在其他应当暂缓对其提供专利预审服务的不当行为</w:t>
      </w:r>
    </w:p>
    <w:p>
      <w:pPr>
        <w:spacing w:before="1" w:line="2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的。</w:t>
      </w:r>
    </w:p>
    <w:p>
      <w:pPr>
        <w:ind w:left="674"/>
        <w:spacing w:before="195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1"/>
        </w:rPr>
        <w:t>三、</w:t>
      </w:r>
      <w:r>
        <w:rPr>
          <w:rFonts w:ascii="SimHei" w:hAnsi="SimHei" w:eastAsia="SimHei" w:cs="SimHei"/>
          <w:sz w:val="32"/>
          <w:szCs w:val="32"/>
          <w:spacing w:val="-8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1"/>
        </w:rPr>
        <w:t>第三类负面行为</w:t>
      </w:r>
    </w:p>
    <w:p>
      <w:pPr>
        <w:ind w:firstLine="789"/>
        <w:spacing w:before="187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(一)提交虚假材料的，包括但不限于注册备案申</w:t>
      </w:r>
      <w:r>
        <w:rPr>
          <w:rFonts w:ascii="FangSong" w:hAnsi="FangSong" w:eastAsia="FangSong" w:cs="FangSong"/>
          <w:sz w:val="32"/>
          <w:szCs w:val="32"/>
          <w:spacing w:val="3"/>
        </w:rPr>
        <w:t>请材料、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专利预审申请材料、著录项目变更证明材料、生产研发</w:t>
      </w:r>
      <w:r>
        <w:rPr>
          <w:rFonts w:ascii="FangSong" w:hAnsi="FangSong" w:eastAsia="FangSong" w:cs="FangSong"/>
          <w:sz w:val="32"/>
          <w:szCs w:val="32"/>
          <w:spacing w:val="-6"/>
        </w:rPr>
        <w:t>能力及共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同研发证明材料等；</w:t>
      </w:r>
    </w:p>
    <w:p>
      <w:pPr>
        <w:ind w:right="68" w:firstLine="789"/>
        <w:spacing w:before="188" w:line="33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(二)提交专利预审申请材料质量不高，经过</w:t>
      </w:r>
      <w:r>
        <w:rPr>
          <w:rFonts w:ascii="FangSong" w:hAnsi="FangSong" w:eastAsia="FangSong" w:cs="FangSong"/>
          <w:sz w:val="32"/>
          <w:szCs w:val="32"/>
        </w:rPr>
        <w:t>两次修改仍达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不到预期要求，</w:t>
      </w:r>
      <w:r>
        <w:rPr>
          <w:rFonts w:ascii="FangSong" w:hAnsi="FangSong" w:eastAsia="FangSong" w:cs="FangSong"/>
          <w:sz w:val="32"/>
          <w:szCs w:val="32"/>
          <w:spacing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一年内此类预审申请占其提交专利预审申请的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70%以上的；</w:t>
      </w:r>
    </w:p>
    <w:p>
      <w:pPr>
        <w:sectPr>
          <w:footerReference w:type="default" r:id="rId15"/>
          <w:pgSz w:w="11910" w:h="16840"/>
          <w:pgMar w:top="1431" w:right="1439" w:bottom="1164" w:left="1579" w:header="0" w:footer="875" w:gutter="0"/>
        </w:sectPr>
        <w:rPr/>
      </w:pP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779"/>
        <w:spacing w:before="101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20"/>
        </w:rPr>
        <w:t>(三)一年内有2件及以上专利申请被国家知识产权局认定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为非正常专利申请且申诉未通过的；</w:t>
      </w:r>
    </w:p>
    <w:p>
      <w:pPr>
        <w:ind w:right="54" w:firstLine="779"/>
        <w:spacing w:before="197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(四)被通报存在《关于规范申请专利行为的办法》(国家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知识产权局公告第411号)、</w:t>
      </w:r>
      <w:r>
        <w:rPr>
          <w:rFonts w:ascii="FangSong" w:hAnsi="FangSong" w:eastAsia="FangSong" w:cs="FangSong"/>
          <w:sz w:val="31"/>
          <w:szCs w:val="31"/>
          <w:spacing w:val="1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《专利领域严重失信联合惩戒对象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名单管理办法(试行)》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(国知发保字〔2019〕52号)、</w:t>
      </w:r>
      <w:r>
        <w:rPr>
          <w:rFonts w:ascii="FangSong" w:hAnsi="FangSong" w:eastAsia="FangSong" w:cs="FangSong"/>
          <w:sz w:val="31"/>
          <w:szCs w:val="31"/>
          <w:spacing w:val="10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《市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场监督管理严重违法失信名单管理办法》(国家市场</w:t>
      </w:r>
      <w:r>
        <w:rPr>
          <w:rFonts w:ascii="FangSong" w:hAnsi="FangSong" w:eastAsia="FangSong" w:cs="FangSong"/>
          <w:sz w:val="31"/>
          <w:szCs w:val="31"/>
          <w:spacing w:val="9"/>
        </w:rPr>
        <w:t>监督管理总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局令第44号)等有关文件所规制的不当行为的；</w:t>
      </w:r>
    </w:p>
    <w:p>
      <w:pPr>
        <w:ind w:left="779"/>
        <w:spacing w:before="197" w:line="57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9"/>
        </w:rPr>
        <w:t>(五)专利申请文件进入快速审查通道后，多次违反《承诺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书》或《申请须知》要求，导致专利快速审查无法顺利进行的；</w:t>
      </w:r>
    </w:p>
    <w:p>
      <w:pPr>
        <w:ind w:left="779"/>
        <w:spacing w:before="198" w:line="57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19"/>
        </w:rPr>
        <w:t>(六)备案主体专利申请获得授权后，</w:t>
      </w:r>
      <w:r>
        <w:rPr>
          <w:rFonts w:ascii="FangSong" w:hAnsi="FangSong" w:eastAsia="FangSong" w:cs="FangSong"/>
          <w:sz w:val="31"/>
          <w:szCs w:val="31"/>
          <w:spacing w:val="112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9"/>
        </w:rPr>
        <w:t>一年内专利权转让超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过五件且未报备或者报备理由不充分的；</w:t>
      </w:r>
    </w:p>
    <w:p>
      <w:pPr>
        <w:ind w:right="31" w:firstLine="779"/>
        <w:spacing w:before="192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(七)存在重复、故意、恶意专利侵权，假冒专利，骗取专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利资助，无资质代理，违规代理，虚假宣传牟利等知识产权领域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违法失信行为或其他不良信用记录的；</w:t>
      </w:r>
    </w:p>
    <w:p>
      <w:pPr>
        <w:ind w:right="15" w:firstLine="779"/>
        <w:spacing w:before="196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(八)备案主体无实体研发经营情况，仅为专利申请载体或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仅为专利申请提供便利的，或以提供知识产权服务为其主营业务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9"/>
        </w:rPr>
        <w:t>的；</w:t>
      </w:r>
    </w:p>
    <w:p>
      <w:pPr>
        <w:ind w:left="779"/>
        <w:spacing w:before="19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(九)备案主体或代理机构已消亡的；</w:t>
      </w:r>
    </w:p>
    <w:p>
      <w:pPr>
        <w:ind w:left="779"/>
        <w:spacing w:before="22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(十)严重干扰或不配合专利预审相关工作的；</w:t>
      </w:r>
    </w:p>
    <w:p>
      <w:pPr>
        <w:ind w:left="779"/>
        <w:spacing w:before="199" w:line="58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20"/>
        </w:rPr>
        <w:t>(十一)存在其他严重不当行为，导致不适合继续对其提供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专利预审服务的。</w:t>
      </w:r>
    </w:p>
    <w:p>
      <w:pPr>
        <w:sectPr>
          <w:footerReference w:type="default" r:id="rId16"/>
          <w:pgSz w:w="11910" w:h="16840"/>
          <w:pgMar w:top="1431" w:right="1474" w:bottom="1168" w:left="1579" w:header="0" w:footer="859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124"/>
        <w:spacing w:before="94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3"/>
        </w:rPr>
        <w:t>附</w:t>
      </w:r>
      <w:r>
        <w:rPr>
          <w:rFonts w:ascii="SimHei" w:hAnsi="SimHei" w:eastAsia="SimHei" w:cs="SimHei"/>
          <w:sz w:val="29"/>
          <w:szCs w:val="29"/>
          <w:spacing w:val="-40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13"/>
        </w:rPr>
        <w:t>件</w:t>
      </w:r>
      <w:r>
        <w:rPr>
          <w:rFonts w:ascii="SimHei" w:hAnsi="SimHei" w:eastAsia="SimHei" w:cs="SimHei"/>
          <w:sz w:val="29"/>
          <w:szCs w:val="29"/>
          <w:spacing w:val="-41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13"/>
        </w:rPr>
        <w:t>2</w:t>
      </w:r>
    </w:p>
    <w:p>
      <w:pPr>
        <w:ind w:left="3001"/>
        <w:spacing w:before="94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预审文件自检表</w:t>
      </w:r>
    </w:p>
    <w:p>
      <w:pPr>
        <w:ind w:left="2144"/>
        <w:spacing w:before="120" w:line="223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11"/>
        </w:rPr>
        <w:t>发明、实用新型专利预审文件自检表</w:t>
      </w:r>
    </w:p>
    <w:p>
      <w:pPr>
        <w:spacing w:line="119" w:lineRule="exact"/>
        <w:rPr/>
      </w:pPr>
      <w:r/>
    </w:p>
    <w:tbl>
      <w:tblPr>
        <w:tblStyle w:val="2"/>
        <w:tblW w:w="90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93"/>
        <w:gridCol w:w="5883"/>
        <w:gridCol w:w="1393"/>
      </w:tblGrid>
      <w:tr>
        <w:trPr>
          <w:trHeight w:val="375" w:hRule="atLeast"/>
        </w:trPr>
        <w:tc>
          <w:tcPr>
            <w:tcW w:w="9069" w:type="dxa"/>
            <w:vAlign w:val="top"/>
            <w:gridSpan w:val="3"/>
          </w:tcPr>
          <w:p>
            <w:pPr>
              <w:ind w:left="3408"/>
              <w:spacing w:before="51" w:line="21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2"/>
              </w:rPr>
              <w:t>预审文件基本信息</w:t>
            </w:r>
          </w:p>
        </w:tc>
      </w:tr>
      <w:tr>
        <w:trPr>
          <w:trHeight w:val="479" w:hRule="atLeast"/>
        </w:trPr>
        <w:tc>
          <w:tcPr>
            <w:tcW w:w="1793" w:type="dxa"/>
            <w:vAlign w:val="top"/>
          </w:tcPr>
          <w:p>
            <w:pPr>
              <w:ind w:left="324"/>
              <w:spacing w:before="102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专利名称</w:t>
            </w:r>
          </w:p>
        </w:tc>
        <w:tc>
          <w:tcPr>
            <w:tcW w:w="7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9" w:hRule="atLeast"/>
        </w:trPr>
        <w:tc>
          <w:tcPr>
            <w:tcW w:w="1793" w:type="dxa"/>
            <w:vAlign w:val="top"/>
          </w:tcPr>
          <w:p>
            <w:pPr>
              <w:ind w:left="184"/>
              <w:spacing w:before="6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概括核心发</w:t>
            </w:r>
          </w:p>
          <w:p>
            <w:pPr>
              <w:ind w:left="184"/>
              <w:spacing w:before="4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明点(100字</w:t>
            </w:r>
          </w:p>
          <w:p>
            <w:pPr>
              <w:ind w:left="534"/>
              <w:spacing w:before="8" w:line="21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以内)</w:t>
            </w:r>
          </w:p>
        </w:tc>
        <w:tc>
          <w:tcPr>
            <w:tcW w:w="7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9" w:hRule="atLeast"/>
        </w:trPr>
        <w:tc>
          <w:tcPr>
            <w:tcW w:w="1793" w:type="dxa"/>
            <w:vAlign w:val="top"/>
          </w:tcPr>
          <w:p>
            <w:pPr>
              <w:ind w:left="394" w:right="116" w:hanging="280"/>
              <w:spacing w:before="72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>分类号(具体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4"/>
              </w:rPr>
              <w:t>到小组)</w:t>
            </w:r>
          </w:p>
        </w:tc>
        <w:tc>
          <w:tcPr>
            <w:tcW w:w="7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59" w:hRule="atLeast"/>
        </w:trPr>
        <w:tc>
          <w:tcPr>
            <w:tcW w:w="1793" w:type="dxa"/>
            <w:vAlign w:val="top"/>
          </w:tcPr>
          <w:p>
            <w:pPr>
              <w:ind w:left="44" w:firstLine="133"/>
              <w:spacing w:before="95" w:line="242" w:lineRule="auto"/>
              <w:jc w:val="righ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0"/>
              </w:rPr>
              <w:t>对比文件公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  </w:t>
            </w:r>
            <w:r>
              <w:rPr>
                <w:rFonts w:ascii="SimSun" w:hAnsi="SimSun" w:eastAsia="SimSun" w:cs="SimSun"/>
                <w:sz w:val="26"/>
                <w:szCs w:val="26"/>
                <w:spacing w:val="7"/>
              </w:rPr>
              <w:t>开信息(专利/</w:t>
            </w:r>
            <w:r>
              <w:rPr>
                <w:rFonts w:ascii="SimSun" w:hAnsi="SimSun" w:eastAsia="SimSun" w:cs="SimSun"/>
                <w:sz w:val="26"/>
                <w:szCs w:val="26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6"/>
                <w:szCs w:val="26"/>
                <w:spacing w:val="29"/>
              </w:rPr>
              <w:t>非专利文件，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15"/>
              </w:rPr>
              <w:t>2篇及以上)</w:t>
            </w:r>
          </w:p>
        </w:tc>
        <w:tc>
          <w:tcPr>
            <w:tcW w:w="7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9069" w:type="dxa"/>
            <w:vAlign w:val="top"/>
            <w:gridSpan w:val="3"/>
          </w:tcPr>
          <w:p>
            <w:pPr>
              <w:ind w:left="3964"/>
              <w:spacing w:before="54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自检内容</w:t>
            </w:r>
          </w:p>
        </w:tc>
      </w:tr>
      <w:tr>
        <w:trPr>
          <w:trHeight w:val="1438" w:hRule="atLeast"/>
        </w:trPr>
        <w:tc>
          <w:tcPr>
            <w:tcW w:w="179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60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>类型</w:t>
            </w:r>
          </w:p>
        </w:tc>
        <w:tc>
          <w:tcPr>
            <w:tcW w:w="588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401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3"/>
              </w:rPr>
              <w:t>自检项目</w:t>
            </w:r>
          </w:p>
        </w:tc>
        <w:tc>
          <w:tcPr>
            <w:tcW w:w="1393" w:type="dxa"/>
            <w:vAlign w:val="top"/>
          </w:tcPr>
          <w:p>
            <w:pPr>
              <w:ind w:left="128"/>
              <w:spacing w:before="5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自检结果</w:t>
            </w:r>
          </w:p>
          <w:p>
            <w:pPr>
              <w:ind w:left="198"/>
              <w:spacing w:before="2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(符合要</w:t>
            </w:r>
          </w:p>
          <w:p>
            <w:pPr>
              <w:ind w:left="268"/>
              <w:spacing w:before="1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求请划</w:t>
            </w:r>
          </w:p>
          <w:p>
            <w:pPr>
              <w:ind w:left="58"/>
              <w:spacing w:before="30" w:line="20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4"/>
              </w:rPr>
              <w:t>“</w:t>
            </w:r>
            <w:r>
              <w:rPr>
                <w:rFonts w:ascii="SimSun" w:hAnsi="SimSun" w:eastAsia="SimSun" w:cs="SimSun"/>
                <w:sz w:val="28"/>
                <w:szCs w:val="28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4"/>
              </w:rPr>
              <w:t>√</w:t>
            </w:r>
            <w:r>
              <w:rPr>
                <w:rFonts w:ascii="SimSun" w:hAnsi="SimSun" w:eastAsia="SimSun" w:cs="SimSun"/>
                <w:sz w:val="28"/>
                <w:szCs w:val="28"/>
                <w:spacing w:val="-10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4"/>
              </w:rPr>
              <w:t>”)</w:t>
            </w:r>
          </w:p>
        </w:tc>
      </w:tr>
      <w:tr>
        <w:trPr>
          <w:trHeight w:val="1099" w:hRule="atLeast"/>
        </w:trPr>
        <w:tc>
          <w:tcPr>
            <w:tcW w:w="17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324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整体要求</w:t>
            </w:r>
          </w:p>
        </w:tc>
        <w:tc>
          <w:tcPr>
            <w:tcW w:w="5883" w:type="dxa"/>
            <w:vAlign w:val="top"/>
          </w:tcPr>
          <w:p>
            <w:pPr>
              <w:ind w:left="102"/>
              <w:spacing w:before="98" w:line="22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1.不涉及国家知识产权局《关于规范申请专利行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9"/>
              </w:rPr>
              <w:t>为的办法》(国家知识产权局公告第411号)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19"/>
              </w:rPr>
              <w:t>规定的非正常申请专利行为。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8" w:hRule="atLeast"/>
        </w:trPr>
        <w:tc>
          <w:tcPr>
            <w:tcW w:w="17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02"/>
              <w:spacing w:before="120" w:line="246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2"/>
              </w:rPr>
              <w:t>2.文本完整：发明/实用新型专利请求书、权利要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求书、说明书摘要及附图、说明书、说明书附图</w:t>
            </w:r>
            <w:r>
              <w:rPr>
                <w:rFonts w:ascii="SimSun" w:hAnsi="SimSun" w:eastAsia="SimSun" w:cs="SimSun"/>
                <w:sz w:val="27"/>
                <w:szCs w:val="27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0"/>
              </w:rPr>
              <w:t>(如有)、专利代理委托书(如有)、第一发明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>人身份证复印件、总委回执(如有)、核苷酸或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氨基酸序列表(如有)、遗传资源来源披露登记</w:t>
            </w:r>
            <w:r>
              <w:rPr>
                <w:rFonts w:ascii="SimSun" w:hAnsi="SimSun" w:eastAsia="SimSun" w:cs="SimSun"/>
                <w:sz w:val="27"/>
                <w:szCs w:val="27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0"/>
              </w:rPr>
              <w:t>表(如有)、保藏证明和存活证明(如有)。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17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02"/>
              <w:spacing w:before="91" w:line="21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3.申请文件中不应有错别字、误用字、标点符号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7"/>
              </w:rPr>
              <w:t>错误、语句不通顺、语句重复等问题。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17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02" w:right="52"/>
              <w:spacing w:before="6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2"/>
              </w:rPr>
              <w:t>4.提交了与</w:t>
            </w:r>
            <w:r>
              <w:rPr>
                <w:rFonts w:ascii="SimSun" w:hAnsi="SimSun" w:eastAsia="SimSun" w:cs="SimSun"/>
                <w:sz w:val="28"/>
                <w:szCs w:val="28"/>
              </w:rPr>
              <w:t>XML</w:t>
            </w:r>
            <w:r>
              <w:rPr>
                <w:rFonts w:ascii="SimSun" w:hAnsi="SimSun" w:eastAsia="SimSun" w:cs="SimSun"/>
                <w:sz w:val="28"/>
                <w:szCs w:val="28"/>
                <w:spacing w:val="42"/>
              </w:rPr>
              <w:t>文档一致的</w:t>
            </w:r>
            <w:r>
              <w:rPr>
                <w:rFonts w:ascii="SimSun" w:hAnsi="SimSun" w:eastAsia="SimSun" w:cs="SimSun"/>
                <w:sz w:val="28"/>
                <w:szCs w:val="28"/>
              </w:rPr>
              <w:t>PDF</w:t>
            </w:r>
            <w:r>
              <w:rPr>
                <w:rFonts w:ascii="SimSun" w:hAnsi="SimSun" w:eastAsia="SimSun" w:cs="SimSun"/>
                <w:sz w:val="28"/>
                <w:szCs w:val="28"/>
                <w:spacing w:val="42"/>
              </w:rPr>
              <w:t>格式预审申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34"/>
              </w:rPr>
              <w:t>请材料。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10" w:h="16840"/>
          <w:pgMar w:top="1431" w:right="1355" w:bottom="1154" w:left="1475" w:header="0" w:footer="865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80" w:lineRule="exact"/>
        <w:rPr/>
      </w:pPr>
      <w:r/>
    </w:p>
    <w:tbl>
      <w:tblPr>
        <w:tblStyle w:val="2"/>
        <w:tblW w:w="90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03"/>
        <w:gridCol w:w="5863"/>
        <w:gridCol w:w="1383"/>
      </w:tblGrid>
      <w:tr>
        <w:trPr>
          <w:trHeight w:val="1244" w:hRule="atLeast"/>
        </w:trPr>
        <w:tc>
          <w:tcPr>
            <w:tcW w:w="18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74" w:right="116" w:hanging="350"/>
              <w:spacing w:before="91" w:line="23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发明/实用新</w:t>
            </w: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型专利</w:t>
            </w:r>
          </w:p>
          <w:p>
            <w:pPr>
              <w:ind w:left="474"/>
              <w:spacing w:before="1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请求书</w:t>
            </w:r>
          </w:p>
        </w:tc>
        <w:tc>
          <w:tcPr>
            <w:tcW w:w="5863" w:type="dxa"/>
            <w:vAlign w:val="top"/>
          </w:tcPr>
          <w:p>
            <w:pPr>
              <w:ind w:left="111"/>
              <w:spacing w:before="126" w:line="244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1.发明/实用新型名称与其他申请文件的发明名</w:t>
            </w: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>称(包括角标格式)一致；发明名称不应超过25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25"/>
              </w:rPr>
              <w:t>个字(化学领域特殊名称最多40个字)。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9" w:hRule="atLeast"/>
        </w:trPr>
        <w:tc>
          <w:tcPr>
            <w:tcW w:w="18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3" w:type="dxa"/>
            <w:vAlign w:val="top"/>
          </w:tcPr>
          <w:p>
            <w:pPr>
              <w:ind w:left="111"/>
              <w:spacing w:before="171" w:line="242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2.发明人姓名、第一发明人国籍、居民身份证件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8"/>
              </w:rPr>
              <w:t>号码准确(第一发明人为外籍或中国港澳台地</w:t>
            </w:r>
            <w:r>
              <w:rPr>
                <w:rFonts w:ascii="SimSun" w:hAnsi="SimSun" w:eastAsia="SimSun" w:cs="SimSun"/>
                <w:sz w:val="27"/>
                <w:szCs w:val="2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7"/>
              </w:rPr>
              <w:t>区，可不填写居民身份证件号码)。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9" w:hRule="atLeast"/>
        </w:trPr>
        <w:tc>
          <w:tcPr>
            <w:tcW w:w="18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3" w:type="dxa"/>
            <w:vAlign w:val="top"/>
          </w:tcPr>
          <w:p>
            <w:pPr>
              <w:ind w:left="111"/>
              <w:spacing w:before="143" w:line="243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3.所有申请人名称、统一社会信用代码准确，地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4"/>
              </w:rPr>
              <w:t>址与邮政编码对应。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8" w:hRule="atLeast"/>
        </w:trPr>
        <w:tc>
          <w:tcPr>
            <w:tcW w:w="18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3" w:type="dxa"/>
            <w:vAlign w:val="top"/>
          </w:tcPr>
          <w:p>
            <w:pPr>
              <w:ind w:left="111"/>
              <w:spacing w:before="196" w:line="246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4.申请人委托专利代理机构的，准确填写专利代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>理机构名称、机构代码、代理人姓名、执业证</w:t>
            </w:r>
            <w:r>
              <w:rPr>
                <w:rFonts w:ascii="SimSun" w:hAnsi="SimSun" w:eastAsia="SimSun" w:cs="SimSun"/>
                <w:sz w:val="27"/>
                <w:szCs w:val="27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号、电话号码，并勾选“声明已经与申请人签</w:t>
            </w: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订了专利代理委托书且本表中的信息与委托书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8"/>
              </w:rPr>
              <w:t>中相应信息一致”;申请人未委托专利代理机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1"/>
              </w:rPr>
              <w:t>构的，准确填写联系人(申请单位工作人员)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19"/>
              </w:rPr>
              <w:t>姓名、通信地址和电话号码。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9" w:hRule="atLeast"/>
        </w:trPr>
        <w:tc>
          <w:tcPr>
            <w:tcW w:w="18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3" w:type="dxa"/>
            <w:vAlign w:val="top"/>
          </w:tcPr>
          <w:p>
            <w:pPr>
              <w:ind w:left="111"/>
              <w:spacing w:before="146" w:line="236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5.已勾选请求早日公布该专利申请、请求实质审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33"/>
              </w:rPr>
              <w:t>查(仅限发明专利)。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9" w:hRule="atLeast"/>
        </w:trPr>
        <w:tc>
          <w:tcPr>
            <w:tcW w:w="18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3" w:type="dxa"/>
            <w:vAlign w:val="top"/>
          </w:tcPr>
          <w:p>
            <w:pPr>
              <w:ind w:left="102" w:firstLine="9"/>
              <w:spacing w:before="76" w:line="233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6.说明书有附图的，指定一幅最能说明该发明/</w:t>
            </w: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实用新型技术方案主要特征的附图作为摘要附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10"/>
              </w:rPr>
              <w:t>图</w:t>
            </w:r>
            <w:r>
              <w:rPr>
                <w:rFonts w:ascii="SimSun" w:hAnsi="SimSun" w:eastAsia="SimSun" w:cs="SimSun"/>
                <w:sz w:val="27"/>
                <w:szCs w:val="27"/>
                <w:spacing w:val="85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10"/>
              </w:rPr>
              <w:t>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18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3" w:type="dxa"/>
            <w:vAlign w:val="top"/>
          </w:tcPr>
          <w:p>
            <w:pPr>
              <w:ind w:left="111"/>
              <w:spacing w:before="11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>7.已勾选放弃主动修改的权利。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29" w:hRule="atLeast"/>
        </w:trPr>
        <w:tc>
          <w:tcPr>
            <w:tcW w:w="18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3" w:type="dxa"/>
            <w:vAlign w:val="top"/>
          </w:tcPr>
          <w:p>
            <w:pPr>
              <w:ind w:left="111"/>
              <w:spacing w:before="148" w:line="244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>8.</w:t>
            </w:r>
            <w:r>
              <w:rPr>
                <w:rFonts w:ascii="SimSun" w:hAnsi="SimSun" w:eastAsia="SimSun" w:cs="SimSun"/>
                <w:sz w:val="27"/>
                <w:szCs w:val="27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>申请不属于</w:t>
            </w:r>
            <w:r>
              <w:rPr>
                <w:rFonts w:ascii="SimSun" w:hAnsi="SimSun" w:eastAsia="SimSun" w:cs="SimSun"/>
                <w:sz w:val="27"/>
                <w:szCs w:val="27"/>
              </w:rPr>
              <w:t>PCT</w:t>
            </w: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>申请、同日申请、分案申请、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根据《专利法实施细则》第七条所规定的需要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16"/>
              </w:rPr>
              <w:t>进行保密审查的申请。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9" w:hRule="atLeast"/>
        </w:trPr>
        <w:tc>
          <w:tcPr>
            <w:tcW w:w="18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3" w:type="dxa"/>
            <w:vAlign w:val="top"/>
          </w:tcPr>
          <w:p>
            <w:pPr>
              <w:ind w:left="111" w:right="86"/>
              <w:spacing w:before="238" w:line="22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9.全体申请人或专利代理人签字或盖章正确有</w:t>
            </w: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效、清晰无误。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84" w:hRule="atLeast"/>
        </w:trPr>
        <w:tc>
          <w:tcPr>
            <w:tcW w:w="18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3" w:type="dxa"/>
            <w:vAlign w:val="top"/>
          </w:tcPr>
          <w:p>
            <w:pPr>
              <w:ind w:left="111" w:right="76"/>
              <w:spacing w:before="216" w:line="241" w:lineRule="auto"/>
              <w:jc w:val="both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10.总委托书备案编号无误(如有),如填写总</w:t>
            </w:r>
            <w:r>
              <w:rPr>
                <w:rFonts w:ascii="SimSun" w:hAnsi="SimSun" w:eastAsia="SimSun" w:cs="SimSun"/>
                <w:sz w:val="28"/>
                <w:szCs w:val="28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委托书备案编号，需要在预审系统其它文件中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提交备案回执图片或其他相关证明文件。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10" w:h="16840"/>
          <w:pgMar w:top="1431" w:right="1385" w:bottom="1150" w:left="1465" w:header="0" w:footer="881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80" w:lineRule="exact"/>
        <w:rPr/>
      </w:pPr>
      <w:r/>
    </w:p>
    <w:tbl>
      <w:tblPr>
        <w:tblStyle w:val="2"/>
        <w:tblW w:w="90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83"/>
        <w:gridCol w:w="5883"/>
        <w:gridCol w:w="1384"/>
      </w:tblGrid>
      <w:tr>
        <w:trPr>
          <w:trHeight w:val="455" w:hRule="atLeast"/>
        </w:trPr>
        <w:tc>
          <w:tcPr>
            <w:tcW w:w="17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465" w:right="318" w:hanging="140"/>
              <w:spacing w:before="91" w:line="22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专利代理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委托书</w:t>
            </w:r>
          </w:p>
        </w:tc>
        <w:tc>
          <w:tcPr>
            <w:tcW w:w="5883" w:type="dxa"/>
            <w:vAlign w:val="top"/>
          </w:tcPr>
          <w:p>
            <w:pPr>
              <w:ind w:left="112"/>
              <w:spacing w:before="9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1.多个委托人时，委托人应分行填写。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7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12" w:right="65"/>
              <w:spacing w:before="40" w:line="20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4"/>
              </w:rPr>
              <w:t>2.电子形式委托书填写的委托信息应与扫描文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0"/>
              </w:rPr>
              <w:t>件一致，并勾选一致性声明。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9" w:hRule="atLeast"/>
        </w:trPr>
        <w:tc>
          <w:tcPr>
            <w:tcW w:w="17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12"/>
              <w:spacing w:before="42" w:line="213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3.申请人委托专利代理机构的，应当提交委托</w:t>
            </w: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书。委托书应当写明委托权限、发明创造名称、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专利代理机构名称、专利代理人姓名，并应当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14"/>
              </w:rPr>
              <w:t>与请求书中填写的内容相一致。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7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25"/>
              <w:spacing w:before="29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发明专利</w:t>
            </w:r>
          </w:p>
          <w:p>
            <w:pPr>
              <w:ind w:left="185"/>
              <w:spacing w:before="58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实质审查请</w:t>
            </w:r>
          </w:p>
          <w:p>
            <w:pPr>
              <w:ind w:left="605"/>
              <w:spacing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>求书</w:t>
            </w:r>
          </w:p>
        </w:tc>
        <w:tc>
          <w:tcPr>
            <w:tcW w:w="5883" w:type="dxa"/>
            <w:vAlign w:val="top"/>
          </w:tcPr>
          <w:p>
            <w:pPr>
              <w:ind w:left="112"/>
              <w:spacing w:before="9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1.发明创造名称与其他申请文件保持一致。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7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12" w:right="107"/>
              <w:spacing w:before="44" w:line="20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2.准确填写第一申请人名称且与发明专利请求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书中</w:t>
            </w:r>
            <w:r>
              <w:rPr>
                <w:rFonts w:ascii="SimSun" w:hAnsi="SimSun" w:eastAsia="SimSun" w:cs="SimSun"/>
                <w:sz w:val="27"/>
                <w:szCs w:val="27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一</w:t>
            </w:r>
            <w:r>
              <w:rPr>
                <w:rFonts w:ascii="SimSun" w:hAnsi="SimSun" w:eastAsia="SimSun" w:cs="SimSun"/>
                <w:sz w:val="27"/>
                <w:szCs w:val="27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致。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17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12"/>
              <w:spacing w:before="10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3.已勾选“放弃主动修改权利”。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17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权利要求书</w:t>
            </w:r>
          </w:p>
        </w:tc>
        <w:tc>
          <w:tcPr>
            <w:tcW w:w="5883" w:type="dxa"/>
            <w:vAlign w:val="top"/>
          </w:tcPr>
          <w:p>
            <w:pPr>
              <w:ind w:left="112"/>
              <w:spacing w:before="45" w:line="20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1.主题名称清楚正确，且同一组权利要求主题名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42"/>
              </w:rPr>
              <w:t>称一致。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17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12"/>
              <w:spacing w:before="8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2.一项权利要求只在结尾处出现句号。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9" w:hRule="atLeast"/>
        </w:trPr>
        <w:tc>
          <w:tcPr>
            <w:tcW w:w="17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12"/>
              <w:spacing w:before="55" w:line="206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3.不含流程图、方框图、曲线图、相图等插图；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如含化学式或数学式应当清晰，列明相关参数</w:t>
            </w: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27"/>
                <w:szCs w:val="27"/>
                <w:spacing w:val="-6"/>
              </w:rPr>
              <w:t>含</w:t>
            </w:r>
            <w:r>
              <w:rPr>
                <w:rFonts w:ascii="SimSun" w:hAnsi="SimSun" w:eastAsia="SimSun" w:cs="SimSun"/>
                <w:sz w:val="27"/>
                <w:szCs w:val="2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6"/>
              </w:rPr>
              <w:t>义</w:t>
            </w:r>
            <w:r>
              <w:rPr>
                <w:rFonts w:ascii="SimSun" w:hAnsi="SimSun" w:eastAsia="SimSun" w:cs="SimSun"/>
                <w:sz w:val="27"/>
                <w:szCs w:val="27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6"/>
              </w:rPr>
              <w:t>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9" w:hRule="atLeast"/>
        </w:trPr>
        <w:tc>
          <w:tcPr>
            <w:tcW w:w="17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12" w:right="87"/>
              <w:spacing w:before="55" w:line="206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4.独立权利要求应当从整体上反映发明或实用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新型的技术方案，记载解决技术问题的必要技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36"/>
              </w:rPr>
              <w:t>术特征</w:t>
            </w:r>
            <w:r>
              <w:rPr>
                <w:rFonts w:ascii="SimSun" w:hAnsi="SimSun" w:eastAsia="SimSun" w:cs="SimSun"/>
                <w:sz w:val="27"/>
                <w:szCs w:val="27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36"/>
              </w:rPr>
              <w:t>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7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12"/>
              <w:spacing w:before="66" w:line="19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5.从属权利要求应当包括引用部分和限定部分，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4"/>
              </w:rPr>
              <w:t>只能引用在前的权利要求。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0" w:hRule="atLeast"/>
        </w:trPr>
        <w:tc>
          <w:tcPr>
            <w:tcW w:w="17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12"/>
              <w:spacing w:before="47" w:line="206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6.权利要求不存在非择一引用、多引多等引用关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4"/>
              </w:rPr>
              <w:t>系</w:t>
            </w:r>
            <w:r>
              <w:rPr>
                <w:rFonts w:ascii="SimSun" w:hAnsi="SimSun" w:eastAsia="SimSun" w:cs="SimSun"/>
                <w:sz w:val="27"/>
                <w:szCs w:val="27"/>
                <w:spacing w:val="63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4"/>
              </w:rPr>
              <w:t>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17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12" w:right="72"/>
              <w:spacing w:before="45" w:line="206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7.权利要求中进一步限定技术特征应有在先引</w:t>
            </w:r>
            <w:r>
              <w:rPr>
                <w:rFonts w:ascii="SimSun" w:hAnsi="SimSun" w:eastAsia="SimSun" w:cs="SimSun"/>
                <w:sz w:val="27"/>
                <w:szCs w:val="2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9"/>
              </w:rPr>
              <w:t>用基础，即特征“所述</w:t>
            </w:r>
            <w:r>
              <w:rPr>
                <w:rFonts w:ascii="SimSun" w:hAnsi="SimSun" w:eastAsia="SimSun" w:cs="SimSun"/>
                <w:sz w:val="27"/>
                <w:szCs w:val="27"/>
              </w:rPr>
              <w:t>XXX</w:t>
            </w:r>
            <w:r>
              <w:rPr>
                <w:rFonts w:ascii="SimSun" w:hAnsi="SimSun" w:eastAsia="SimSun" w:cs="SimSun"/>
                <w:sz w:val="27"/>
                <w:szCs w:val="27"/>
                <w:spacing w:val="29"/>
              </w:rPr>
              <w:t>”,在其引用路径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8"/>
              </w:rPr>
              <w:t>上应包括特征“</w:t>
            </w:r>
            <w:r>
              <w:rPr>
                <w:rFonts w:ascii="SimSun" w:hAnsi="SimSun" w:eastAsia="SimSun" w:cs="SimSun"/>
                <w:sz w:val="27"/>
                <w:szCs w:val="27"/>
              </w:rPr>
              <w:t>XXX</w:t>
            </w:r>
            <w:r>
              <w:rPr>
                <w:rFonts w:ascii="SimSun" w:hAnsi="SimSun" w:eastAsia="SimSun" w:cs="SimSun"/>
                <w:sz w:val="27"/>
                <w:szCs w:val="27"/>
                <w:spacing w:val="28"/>
              </w:rPr>
              <w:t>”。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0" w:hRule="atLeast"/>
        </w:trPr>
        <w:tc>
          <w:tcPr>
            <w:tcW w:w="17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12"/>
              <w:spacing w:before="77" w:line="19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21"/>
              </w:rPr>
              <w:t>8.权利要求无“优选”、</w:t>
            </w: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7"/>
                <w:szCs w:val="27"/>
                <w:spacing w:val="-21"/>
              </w:rPr>
              <w:t>“等”或其他明显</w:t>
            </w:r>
            <w:r>
              <w:rPr>
                <w:rFonts w:ascii="SimSun" w:hAnsi="SimSun" w:eastAsia="SimSun" w:cs="SimSun"/>
                <w:sz w:val="27"/>
                <w:szCs w:val="27"/>
                <w:spacing w:val="-22"/>
              </w:rPr>
              <w:t>会造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0"/>
              </w:rPr>
              <w:t>成权利要求不清楚的表述。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17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11" w:hanging="9"/>
              <w:spacing w:before="67" w:line="201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9.附图标记应当加括号，并放在相应的技术特征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后面，技术术语及附图标记与说明书及其附图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>保持</w:t>
            </w:r>
            <w:r>
              <w:rPr>
                <w:rFonts w:ascii="SimSun" w:hAnsi="SimSun" w:eastAsia="SimSun" w:cs="SimSun"/>
                <w:sz w:val="27"/>
                <w:szCs w:val="27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>一</w:t>
            </w:r>
            <w:r>
              <w:rPr>
                <w:rFonts w:ascii="SimSun" w:hAnsi="SimSun" w:eastAsia="SimSun" w:cs="SimSun"/>
                <w:sz w:val="27"/>
                <w:szCs w:val="27"/>
                <w:spacing w:val="-76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>致。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7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12" w:right="4"/>
              <w:spacing w:before="58" w:line="202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>10.多项权利要求使用阿拉伯数字顺序编号，序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37"/>
              </w:rPr>
              <w:t>号无重复。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7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92"/>
              <w:spacing w:before="50" w:line="225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11.不应出现“如说明书……所述”</w:t>
            </w:r>
            <w:r>
              <w:rPr>
                <w:rFonts w:ascii="SimSun" w:hAnsi="SimSun" w:eastAsia="SimSun" w:cs="SimSun"/>
                <w:sz w:val="27"/>
                <w:szCs w:val="27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"如图……</w:t>
            </w:r>
          </w:p>
          <w:p>
            <w:pPr>
              <w:ind w:left="112"/>
              <w:spacing w:line="19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8"/>
              </w:rPr>
              <w:t>所示”等用语。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7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12"/>
              <w:spacing w:before="51" w:line="20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0"/>
              </w:rPr>
              <w:t>12.无敏感词或敏感内容。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10" w:h="16840"/>
          <w:pgMar w:top="1431" w:right="1365" w:bottom="1144" w:left="1484" w:header="0" w:footer="855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10" w:lineRule="exact"/>
        <w:rPr/>
      </w:pPr>
      <w:r/>
    </w:p>
    <w:tbl>
      <w:tblPr>
        <w:tblStyle w:val="2"/>
        <w:tblW w:w="90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93"/>
        <w:gridCol w:w="5873"/>
        <w:gridCol w:w="1383"/>
      </w:tblGrid>
      <w:tr>
        <w:trPr>
          <w:trHeight w:val="1294" w:hRule="atLeast"/>
        </w:trPr>
        <w:tc>
          <w:tcPr>
            <w:tcW w:w="17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6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说明书</w:t>
            </w:r>
          </w:p>
        </w:tc>
        <w:tc>
          <w:tcPr>
            <w:tcW w:w="5873" w:type="dxa"/>
            <w:vAlign w:val="top"/>
          </w:tcPr>
          <w:p>
            <w:pPr>
              <w:ind w:left="112"/>
              <w:spacing w:before="147" w:line="236" w:lineRule="auto"/>
              <w:jc w:val="both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1.说明书包括技术领域、背景技术、发明内容/</w:t>
            </w: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4"/>
              </w:rPr>
              <w:t>实用新型内容、附图说明(如有附图)、具体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实施方式，且各小标题前无段落号。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0" w:hRule="atLeast"/>
        </w:trPr>
        <w:tc>
          <w:tcPr>
            <w:tcW w:w="17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12" w:right="72"/>
              <w:spacing w:before="80" w:line="21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2.说明书中不含非技术术语、敏感词或敏感内</w:t>
            </w:r>
            <w:r>
              <w:rPr>
                <w:rFonts w:ascii="SimSun" w:hAnsi="SimSun" w:eastAsia="SimSun" w:cs="SimSun"/>
                <w:sz w:val="28"/>
                <w:szCs w:val="28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2"/>
              </w:rPr>
              <w:t>容，也不得有商业宣传。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9" w:hRule="atLeast"/>
        </w:trPr>
        <w:tc>
          <w:tcPr>
            <w:tcW w:w="17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12"/>
              <w:spacing w:before="151" w:line="23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3.说明书中无“在此处键入”的字样；发明申请</w:t>
            </w: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7"/>
              </w:rPr>
              <w:t>说明书中无“本实用新型”的表述。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9" w:hRule="atLeast"/>
        </w:trPr>
        <w:tc>
          <w:tcPr>
            <w:tcW w:w="17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12"/>
              <w:spacing w:before="142" w:line="23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4.说明书附图说明与附图对应，说明书文字部分</w:t>
            </w: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9"/>
              </w:rPr>
              <w:t>与说明书附图应当一一对应。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7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12"/>
              <w:spacing w:before="43" w:line="20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5.说明书中的公式清晰、无乱码。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9" w:hRule="atLeast"/>
        </w:trPr>
        <w:tc>
          <w:tcPr>
            <w:tcW w:w="17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12"/>
              <w:spacing w:before="223" w:line="235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6.不含流程图、方框图、曲线图、相图等插图；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表格应当清晰完整，化学式或数学式应当清晰、</w:t>
            </w:r>
            <w:r>
              <w:rPr>
                <w:rFonts w:ascii="SimSun" w:hAnsi="SimSun" w:eastAsia="SimSun" w:cs="SimSun"/>
                <w:sz w:val="27"/>
                <w:szCs w:val="27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8"/>
              </w:rPr>
              <w:t>列明相关参数含义。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9" w:hRule="atLeast"/>
        </w:trPr>
        <w:tc>
          <w:tcPr>
            <w:tcW w:w="17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12" w:right="89"/>
              <w:spacing w:before="215" w:line="22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7.说明书中采用的英文简写应有本领域公知的</w:t>
            </w:r>
            <w:r>
              <w:rPr>
                <w:rFonts w:ascii="SimSun" w:hAnsi="SimSun" w:eastAsia="SimSun" w:cs="SimSun"/>
                <w:sz w:val="28"/>
                <w:szCs w:val="28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27"/>
              </w:rPr>
              <w:t>明确含义。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9" w:hRule="atLeast"/>
        </w:trPr>
        <w:tc>
          <w:tcPr>
            <w:tcW w:w="17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说明书附图</w:t>
            </w:r>
          </w:p>
        </w:tc>
        <w:tc>
          <w:tcPr>
            <w:tcW w:w="5873" w:type="dxa"/>
            <w:vAlign w:val="top"/>
          </w:tcPr>
          <w:p>
            <w:pPr>
              <w:ind w:left="112"/>
              <w:spacing w:before="283"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1.有多幅附图的，用阿拉伯数字正确编号。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29" w:hRule="atLeast"/>
        </w:trPr>
        <w:tc>
          <w:tcPr>
            <w:tcW w:w="17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12"/>
              <w:spacing w:before="174" w:line="23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2.附图应当均匀清晰(应当保证在该图缩小到三</w:t>
            </w: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分之二时仍能清晰地分辨出图中各个细节，以</w:t>
            </w: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能够满足复印、扫描的要求为准)、足够深，</w:t>
            </w:r>
          </w:p>
          <w:p>
            <w:pPr>
              <w:ind w:left="112"/>
              <w:spacing w:before="3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不得着色和涂改、使用工程蓝图或存在水印。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9" w:hRule="atLeast"/>
        </w:trPr>
        <w:tc>
          <w:tcPr>
            <w:tcW w:w="17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12"/>
              <w:spacing w:before="6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3.附图中除了必需的词语外，不应当含有其他的</w:t>
            </w: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6"/>
              </w:rPr>
              <w:t>注释；附图的周围不得有与图无关的框线。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0" w:hRule="atLeast"/>
        </w:trPr>
        <w:tc>
          <w:tcPr>
            <w:tcW w:w="17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12"/>
              <w:spacing w:before="89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4.附图中的词语应当使用中文，必要时，可以在</w:t>
            </w: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1"/>
              </w:rPr>
              <w:t>其后的括号里注明原文。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9" w:hRule="atLeast"/>
        </w:trPr>
        <w:tc>
          <w:tcPr>
            <w:tcW w:w="17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11" w:hanging="9"/>
              <w:spacing w:before="148" w:line="23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5.不得存在说明书文字部分未提及的附图，附图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6"/>
              </w:rPr>
              <w:t>部分没有的图号不应在说明书中出现。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4" w:hRule="atLeast"/>
        </w:trPr>
        <w:tc>
          <w:tcPr>
            <w:tcW w:w="17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12" w:right="85" w:hanging="10"/>
              <w:spacing w:before="121" w:line="238" w:lineRule="auto"/>
              <w:jc w:val="both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6.说明书文字部分中未提及的附图标记不得在</w:t>
            </w: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附图中出现，附图中未出现的附图标记也不得</w:t>
            </w: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>在说明书文字部分中提及。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10" w:h="16840"/>
          <w:pgMar w:top="1431" w:right="1385" w:bottom="1134" w:left="1465" w:header="0" w:footer="845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00" w:lineRule="exact"/>
        <w:rPr/>
      </w:pPr>
      <w:r/>
    </w:p>
    <w:tbl>
      <w:tblPr>
        <w:tblStyle w:val="2"/>
        <w:tblW w:w="90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93"/>
        <w:gridCol w:w="5884"/>
        <w:gridCol w:w="1393"/>
      </w:tblGrid>
      <w:tr>
        <w:trPr>
          <w:trHeight w:val="1089" w:hRule="atLeast"/>
        </w:trPr>
        <w:tc>
          <w:tcPr>
            <w:tcW w:w="17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说明书摘要</w:t>
            </w:r>
          </w:p>
        </w:tc>
        <w:tc>
          <w:tcPr>
            <w:tcW w:w="5884" w:type="dxa"/>
            <w:vAlign w:val="top"/>
          </w:tcPr>
          <w:p>
            <w:pPr>
              <w:ind w:left="112" w:firstLine="10"/>
              <w:spacing w:before="75" w:line="231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1.应当写明发明/实用新型名称和所属的技术领</w:t>
            </w:r>
            <w:r>
              <w:rPr>
                <w:rFonts w:ascii="SimSun" w:hAnsi="SimSun" w:eastAsia="SimSun" w:cs="SimSun"/>
                <w:sz w:val="27"/>
                <w:szCs w:val="27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4"/>
              </w:rPr>
              <w:t>域，清楚反映所要解决的技术问题，解决该问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0"/>
              </w:rPr>
              <w:t>题的技术方案要点及主要用途。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0" w:hRule="atLeast"/>
        </w:trPr>
        <w:tc>
          <w:tcPr>
            <w:tcW w:w="17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4" w:type="dxa"/>
            <w:vAlign w:val="top"/>
          </w:tcPr>
          <w:p>
            <w:pPr>
              <w:ind w:left="122"/>
              <w:spacing w:before="76" w:line="231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2.摘要文字部分(标点符号、</w:t>
            </w:r>
            <w:r>
              <w:rPr>
                <w:rFonts w:ascii="SimSun" w:hAnsi="SimSun" w:eastAsia="SimSun" w:cs="SimSun"/>
                <w:sz w:val="27"/>
                <w:szCs w:val="27"/>
                <w:spacing w:val="80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</w:rPr>
              <w:t>一个英文字母分别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4"/>
              </w:rPr>
              <w:t>算一个字符)不得超过300个字，并且不得使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4"/>
              </w:rPr>
              <w:t>用商业性宣传用语。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5"/>
        <w:spacing w:before="54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22"/>
        </w:rPr>
        <w:t>注意事项：</w:t>
      </w:r>
    </w:p>
    <w:p>
      <w:pPr>
        <w:ind w:left="705"/>
        <w:spacing w:before="19" w:line="21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-29"/>
        </w:rPr>
        <w:t>1.</w:t>
      </w:r>
      <w:r>
        <w:rPr>
          <w:rFonts w:ascii="FangSong" w:hAnsi="FangSong" w:eastAsia="FangSong" w:cs="FangSong"/>
          <w:sz w:val="27"/>
          <w:szCs w:val="27"/>
          <w:b/>
          <w:bCs/>
          <w:spacing w:val="-29"/>
        </w:rPr>
        <w:t>自检结果符合要求请划“</w:t>
      </w:r>
      <w:r>
        <w:rPr>
          <w:rFonts w:ascii="FangSong" w:hAnsi="FangSong" w:eastAsia="FangSong" w:cs="FangSong"/>
          <w:sz w:val="27"/>
          <w:szCs w:val="27"/>
          <w:spacing w:val="-54"/>
        </w:rPr>
        <w:t xml:space="preserve"> </w:t>
      </w:r>
      <w:r>
        <w:rPr>
          <w:rFonts w:ascii="FangSong" w:hAnsi="FangSong" w:eastAsia="FangSong" w:cs="FangSong"/>
          <w:sz w:val="27"/>
          <w:szCs w:val="27"/>
          <w:b/>
          <w:bCs/>
          <w:spacing w:val="-29"/>
        </w:rPr>
        <w:t>√”,</w:t>
      </w:r>
      <w:r>
        <w:rPr>
          <w:rFonts w:ascii="FangSong" w:hAnsi="FangSong" w:eastAsia="FangSong" w:cs="FangSong"/>
          <w:sz w:val="27"/>
          <w:szCs w:val="27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-29"/>
        </w:rPr>
        <w:t>WORD</w:t>
      </w:r>
      <w:r>
        <w:rPr>
          <w:rFonts w:ascii="Times New Roman" w:hAnsi="Times New Roman" w:eastAsia="Times New Roman" w:cs="Times New Roman"/>
          <w:sz w:val="27"/>
          <w:szCs w:val="27"/>
          <w:spacing w:val="-35"/>
        </w:rPr>
        <w:t xml:space="preserve"> </w:t>
      </w:r>
      <w:r>
        <w:rPr>
          <w:rFonts w:ascii="FangSong" w:hAnsi="FangSong" w:eastAsia="FangSong" w:cs="FangSong"/>
          <w:sz w:val="27"/>
          <w:szCs w:val="27"/>
          <w:b/>
          <w:bCs/>
          <w:spacing w:val="-29"/>
        </w:rPr>
        <w:t>版本和扫描版本都为有效</w:t>
      </w:r>
      <w:r>
        <w:rPr>
          <w:rFonts w:ascii="FangSong" w:hAnsi="FangSong" w:eastAsia="FangSong" w:cs="FangSong"/>
          <w:sz w:val="27"/>
          <w:szCs w:val="27"/>
          <w:spacing w:val="-29"/>
        </w:rPr>
        <w:t>。</w:t>
      </w:r>
    </w:p>
    <w:p>
      <w:pPr>
        <w:ind w:left="798" w:right="39" w:hanging="93"/>
        <w:spacing w:before="2" w:line="21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-32"/>
        </w:rPr>
        <w:t>2.</w:t>
      </w:r>
      <w:r>
        <w:rPr>
          <w:rFonts w:ascii="FangSong" w:hAnsi="FangSong" w:eastAsia="FangSong" w:cs="FangSong"/>
          <w:sz w:val="27"/>
          <w:szCs w:val="27"/>
          <w:b/>
          <w:bCs/>
          <w:spacing w:val="-32"/>
        </w:rPr>
        <w:t>受理领域范围：属于海洋或者新一代信息技术产业领域，具体以分类号</w:t>
      </w:r>
      <w:r>
        <w:rPr>
          <w:rFonts w:ascii="FangSong" w:hAnsi="FangSong" w:eastAsia="FangSong" w:cs="FangSong"/>
          <w:sz w:val="27"/>
          <w:szCs w:val="27"/>
          <w:spacing w:val="-32"/>
        </w:rPr>
        <w:t>为准。</w:t>
      </w:r>
      <w:r>
        <w:rPr>
          <w:rFonts w:ascii="FangSong" w:hAnsi="FangSong" w:eastAsia="FangSong" w:cs="FangSong"/>
          <w:sz w:val="27"/>
          <w:szCs w:val="27"/>
          <w:spacing w:val="15"/>
        </w:rPr>
        <w:t xml:space="preserve"> </w:t>
      </w:r>
      <w:r>
        <w:rPr>
          <w:rFonts w:ascii="FangSong" w:hAnsi="FangSong" w:eastAsia="FangSong" w:cs="FangSong"/>
          <w:sz w:val="27"/>
          <w:szCs w:val="27"/>
          <w:b/>
          <w:bCs/>
          <w:spacing w:val="-33"/>
        </w:rPr>
        <w:t>自检单位应认真检查并填写自检表，所列自检项目全部符合要求的方可提交预</w:t>
      </w:r>
    </w:p>
    <w:p>
      <w:pPr>
        <w:ind w:left="105"/>
        <w:spacing w:before="1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9"/>
        </w:rPr>
        <w:t>审。</w:t>
      </w:r>
    </w:p>
    <w:p>
      <w:pPr>
        <w:ind w:left="705"/>
        <w:spacing w:before="111" w:line="480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7"/>
          <w:position w:val="15"/>
        </w:rPr>
        <w:t>自检单位名称(加盖公章):</w:t>
      </w:r>
    </w:p>
    <w:p>
      <w:pPr>
        <w:ind w:left="705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5"/>
        </w:rPr>
        <w:t>自检人姓名：</w:t>
      </w:r>
    </w:p>
    <w:p>
      <w:pPr>
        <w:ind w:left="705"/>
        <w:spacing w:before="158" w:line="480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4"/>
          <w:position w:val="15"/>
        </w:rPr>
        <w:t>自检人联系电话：</w:t>
      </w:r>
    </w:p>
    <w:p>
      <w:pPr>
        <w:ind w:left="705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1"/>
        </w:rPr>
        <w:t>自检日期：</w:t>
      </w:r>
    </w:p>
    <w:p>
      <w:pPr>
        <w:ind w:left="161"/>
        <w:spacing w:before="219" w:line="21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i/>
          <w:iCs/>
          <w:u w:val="single" w:color="auto"/>
          <w:spacing w:val="-3"/>
        </w:rPr>
        <w:t>注：自检单位指实际提交单位，即委托代理机构申请的填</w:t>
      </w:r>
      <w:r>
        <w:rPr>
          <w:rFonts w:ascii="FangSong" w:hAnsi="FangSong" w:eastAsia="FangSong" w:cs="FangSong"/>
          <w:sz w:val="28"/>
          <w:szCs w:val="28"/>
          <w:i/>
          <w:iCs/>
          <w:u w:val="single" w:color="auto"/>
          <w:spacing w:val="-4"/>
        </w:rPr>
        <w:t>写代理机构信息</w:t>
      </w:r>
    </w:p>
    <w:p>
      <w:pPr>
        <w:sectPr>
          <w:footerReference w:type="default" r:id="rId21"/>
          <w:pgSz w:w="11910" w:h="16840"/>
          <w:pgMar w:top="1431" w:right="1344" w:bottom="1110" w:left="1484" w:header="0" w:footer="841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901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2"/>
        </w:rPr>
        <w:t>预审文件自检表</w:t>
      </w:r>
    </w:p>
    <w:p>
      <w:pPr>
        <w:ind w:left="2495"/>
        <w:spacing w:before="138" w:line="223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9"/>
        </w:rPr>
        <w:t>外观设计专利预审文件自检表</w:t>
      </w:r>
    </w:p>
    <w:p>
      <w:pPr>
        <w:spacing w:line="109" w:lineRule="exact"/>
        <w:rPr/>
      </w:pPr>
      <w:r/>
    </w:p>
    <w:tbl>
      <w:tblPr>
        <w:tblStyle w:val="2"/>
        <w:tblW w:w="88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93"/>
        <w:gridCol w:w="1438"/>
        <w:gridCol w:w="4445"/>
        <w:gridCol w:w="1623"/>
      </w:tblGrid>
      <w:tr>
        <w:trPr>
          <w:trHeight w:val="614" w:hRule="atLeast"/>
        </w:trPr>
        <w:tc>
          <w:tcPr>
            <w:tcW w:w="8899" w:type="dxa"/>
            <w:vAlign w:val="top"/>
            <w:gridSpan w:val="4"/>
          </w:tcPr>
          <w:p>
            <w:pPr>
              <w:ind w:left="3368"/>
              <w:spacing w:before="170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2"/>
              </w:rPr>
              <w:t>预审文件基本信息</w:t>
            </w:r>
          </w:p>
        </w:tc>
      </w:tr>
      <w:tr>
        <w:trPr>
          <w:trHeight w:val="559" w:hRule="atLeast"/>
        </w:trPr>
        <w:tc>
          <w:tcPr>
            <w:tcW w:w="2831" w:type="dxa"/>
            <w:vAlign w:val="top"/>
            <w:gridSpan w:val="2"/>
          </w:tcPr>
          <w:p>
            <w:pPr>
              <w:ind w:left="575"/>
              <w:spacing w:before="152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外观设计名称</w:t>
            </w:r>
          </w:p>
        </w:tc>
        <w:tc>
          <w:tcPr>
            <w:tcW w:w="60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9" w:hRule="atLeast"/>
        </w:trPr>
        <w:tc>
          <w:tcPr>
            <w:tcW w:w="2831" w:type="dxa"/>
            <w:vAlign w:val="top"/>
            <w:gridSpan w:val="2"/>
          </w:tcPr>
          <w:p>
            <w:pPr>
              <w:ind w:left="155"/>
              <w:spacing w:before="243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>分类号(应属于保护</w:t>
            </w:r>
          </w:p>
          <w:p>
            <w:pPr>
              <w:ind w:left="455"/>
              <w:spacing w:before="70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>中心受理范围)</w:t>
            </w:r>
          </w:p>
        </w:tc>
        <w:tc>
          <w:tcPr>
            <w:tcW w:w="60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7" w:hRule="atLeast"/>
        </w:trPr>
        <w:tc>
          <w:tcPr>
            <w:tcW w:w="2831" w:type="dxa"/>
            <w:vAlign w:val="top"/>
            <w:gridSpan w:val="2"/>
          </w:tcPr>
          <w:p>
            <w:pPr>
              <w:ind w:left="105" w:right="366"/>
              <w:spacing w:before="323" w:line="24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对比文件公开信息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>(专利文件或两件及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以上相似现有设计)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6"/>
              </w:rPr>
              <w:t>填写格式：</w:t>
            </w:r>
          </w:p>
          <w:p>
            <w:pPr>
              <w:ind w:left="105"/>
              <w:spacing w:line="224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2"/>
              </w:rPr>
              <w:t>专利文件--公开号(专利</w:t>
            </w:r>
            <w:r>
              <w:rPr>
                <w:rFonts w:ascii="SimSun" w:hAnsi="SimSun" w:eastAsia="SimSun" w:cs="SimSun"/>
                <w:sz w:val="26"/>
                <w:szCs w:val="26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9"/>
              </w:rPr>
              <w:t>号)+专利名称</w:t>
            </w:r>
          </w:p>
          <w:p>
            <w:pPr>
              <w:ind w:left="105"/>
              <w:spacing w:before="10" w:line="217" w:lineRule="auto"/>
              <w:jc w:val="both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13"/>
              </w:rPr>
              <w:t>非专利文件--包括但不限</w:t>
            </w: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14"/>
              </w:rPr>
              <w:t>于图片、网址链接、书刊</w:t>
            </w:r>
            <w:r>
              <w:rPr>
                <w:rFonts w:ascii="SimSun" w:hAnsi="SimSun" w:eastAsia="SimSun" w:cs="SimSun"/>
                <w:sz w:val="26"/>
                <w:szCs w:val="26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41"/>
              </w:rPr>
              <w:t>信息等。</w:t>
            </w:r>
          </w:p>
        </w:tc>
        <w:tc>
          <w:tcPr>
            <w:tcW w:w="60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8899" w:type="dxa"/>
            <w:vAlign w:val="top"/>
            <w:gridSpan w:val="4"/>
          </w:tcPr>
          <w:p>
            <w:pPr>
              <w:ind w:left="3905"/>
              <w:spacing w:before="167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自检内容</w:t>
            </w:r>
          </w:p>
        </w:tc>
      </w:tr>
      <w:tr>
        <w:trPr>
          <w:trHeight w:val="1219" w:hRule="atLeast"/>
        </w:trPr>
        <w:tc>
          <w:tcPr>
            <w:tcW w:w="1393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87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类型</w:t>
            </w:r>
          </w:p>
        </w:tc>
        <w:tc>
          <w:tcPr>
            <w:tcW w:w="5883" w:type="dxa"/>
            <w:vAlign w:val="top"/>
            <w:gridSpan w:val="2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2402"/>
              <w:spacing w:before="87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7"/>
              </w:rPr>
              <w:t>自检项目</w:t>
            </w:r>
          </w:p>
        </w:tc>
        <w:tc>
          <w:tcPr>
            <w:tcW w:w="1623" w:type="dxa"/>
            <w:vAlign w:val="top"/>
          </w:tcPr>
          <w:p>
            <w:pPr>
              <w:ind w:left="329"/>
              <w:spacing w:before="117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自检结果</w:t>
            </w:r>
          </w:p>
          <w:p>
            <w:pPr>
              <w:ind w:left="189"/>
              <w:spacing w:before="29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(符合要求</w:t>
            </w:r>
          </w:p>
          <w:p>
            <w:pPr>
              <w:ind w:left="169"/>
              <w:spacing w:before="50" w:line="227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18"/>
              </w:rPr>
              <w:t>请划“</w:t>
            </w:r>
            <w:r>
              <w:rPr>
                <w:rFonts w:ascii="SimSun" w:hAnsi="SimSun" w:eastAsia="SimSun" w:cs="SimSun"/>
                <w:sz w:val="26"/>
                <w:szCs w:val="26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18"/>
              </w:rPr>
              <w:t>√</w:t>
            </w:r>
            <w:r>
              <w:rPr>
                <w:rFonts w:ascii="SimSun" w:hAnsi="SimSun" w:eastAsia="SimSun" w:cs="SimSun"/>
                <w:sz w:val="26"/>
                <w:szCs w:val="26"/>
                <w:spacing w:val="-92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18"/>
              </w:rPr>
              <w:t>”)</w:t>
            </w:r>
          </w:p>
        </w:tc>
      </w:tr>
      <w:tr>
        <w:trPr>
          <w:trHeight w:val="1099" w:hRule="atLeast"/>
        </w:trPr>
        <w:tc>
          <w:tcPr>
            <w:tcW w:w="13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88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整体要求</w:t>
            </w:r>
          </w:p>
        </w:tc>
        <w:tc>
          <w:tcPr>
            <w:tcW w:w="5883" w:type="dxa"/>
            <w:vAlign w:val="top"/>
            <w:gridSpan w:val="2"/>
          </w:tcPr>
          <w:p>
            <w:pPr>
              <w:ind w:left="112" w:right="41"/>
              <w:spacing w:before="85" w:line="23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1.不涉及国家知识产权局《关于规范申请专利</w:t>
            </w: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20"/>
              </w:rPr>
              <w:t>行为的办法》(国家知识产权局公告第411号)</w:t>
            </w: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>规定的非正常申请专利行为。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9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  <w:gridSpan w:val="2"/>
          </w:tcPr>
          <w:p>
            <w:pPr>
              <w:ind w:left="112" w:right="25"/>
              <w:spacing w:before="79" w:line="230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2.文本完整：外观设计专利请求书、外观设计</w:t>
            </w: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图片/照片、简要说明、专利代理机构委托书、</w:t>
            </w: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6"/>
              </w:rPr>
              <w:t>第一设计人身份证复印件、总委回执(如有)</w:t>
            </w:r>
            <w:r>
              <w:rPr>
                <w:rFonts w:ascii="SimSun" w:hAnsi="SimSun" w:eastAsia="SimSun" w:cs="SimSun"/>
                <w:sz w:val="27"/>
                <w:szCs w:val="27"/>
                <w:spacing w:val="15"/>
              </w:rPr>
              <w:t>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  <w:gridSpan w:val="2"/>
          </w:tcPr>
          <w:p>
            <w:pPr>
              <w:ind w:left="112" w:right="230"/>
              <w:spacing w:before="70" w:line="225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3.申请文件中不应有错别字、误用字、标点符</w:t>
            </w: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>号错误、语句不通顺、语句重复等问题。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4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  <w:gridSpan w:val="2"/>
          </w:tcPr>
          <w:p>
            <w:pPr>
              <w:ind w:left="112" w:right="203"/>
              <w:spacing w:before="80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3"/>
              </w:rPr>
              <w:t>4.提交了与</w:t>
            </w:r>
            <w:r>
              <w:rPr>
                <w:rFonts w:ascii="SimSun" w:hAnsi="SimSun" w:eastAsia="SimSun" w:cs="SimSun"/>
                <w:sz w:val="27"/>
                <w:szCs w:val="27"/>
              </w:rPr>
              <w:t>XML</w:t>
            </w:r>
            <w:r>
              <w:rPr>
                <w:rFonts w:ascii="SimSun" w:hAnsi="SimSun" w:eastAsia="SimSun" w:cs="SimSun"/>
                <w:sz w:val="27"/>
                <w:szCs w:val="27"/>
                <w:spacing w:val="43"/>
              </w:rPr>
              <w:t>文档一致的</w:t>
            </w:r>
            <w:r>
              <w:rPr>
                <w:rFonts w:ascii="SimSun" w:hAnsi="SimSun" w:eastAsia="SimSun" w:cs="SimSun"/>
                <w:sz w:val="27"/>
                <w:szCs w:val="27"/>
              </w:rPr>
              <w:t>PDF</w:t>
            </w:r>
            <w:r>
              <w:rPr>
                <w:rFonts w:ascii="SimSun" w:hAnsi="SimSun" w:eastAsia="SimSun" w:cs="SimSun"/>
                <w:sz w:val="27"/>
                <w:szCs w:val="27"/>
                <w:spacing w:val="43"/>
              </w:rPr>
              <w:t>格式预审申</w:t>
            </w: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33"/>
              </w:rPr>
              <w:t>请材料。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10" w:h="16840"/>
          <w:pgMar w:top="1431" w:right="1465" w:bottom="1123" w:left="1534" w:header="0" w:footer="835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0" w:lineRule="exact"/>
        <w:rPr/>
      </w:pPr>
      <w:r/>
    </w:p>
    <w:tbl>
      <w:tblPr>
        <w:tblStyle w:val="2"/>
        <w:tblW w:w="88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93"/>
        <w:gridCol w:w="5883"/>
        <w:gridCol w:w="1623"/>
      </w:tblGrid>
      <w:tr>
        <w:trPr>
          <w:trHeight w:val="1084" w:hRule="atLeast"/>
        </w:trPr>
        <w:tc>
          <w:tcPr>
            <w:tcW w:w="13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14" w:right="146" w:hanging="269"/>
              <w:spacing w:before="88" w:line="23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外观设计</w:t>
            </w: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专利</w:t>
            </w:r>
          </w:p>
          <w:p>
            <w:pPr>
              <w:ind w:left="285"/>
              <w:spacing w:before="25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请求书</w:t>
            </w:r>
          </w:p>
        </w:tc>
        <w:tc>
          <w:tcPr>
            <w:tcW w:w="5883" w:type="dxa"/>
            <w:vAlign w:val="top"/>
          </w:tcPr>
          <w:p>
            <w:pPr>
              <w:ind w:left="102" w:right="201"/>
              <w:spacing w:before="74" w:line="230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1.使用外观设计的产品名称与简要说明中的外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观设计产品的名称一致，且准确、简明地表明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>要求保护的产品的外观设计。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9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02" w:right="200"/>
              <w:spacing w:before="62" w:line="234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2.准确填写设计人姓名、第一设计人国籍、居</w:t>
            </w: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5"/>
              </w:rPr>
              <w:t>民身份证件号码(第一设计人为外籍或中国港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5"/>
              </w:rPr>
              <w:t>澳台地区，可不填写居民身份证件号码)。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02" w:right="235"/>
              <w:spacing w:before="70" w:line="225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3.所有申请人名称、统一社会信用代码准确，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地址与邮政编码对应。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58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02" w:right="31"/>
              <w:spacing w:before="70" w:line="243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4.申请人委托专利代理机构的，准确填写专利</w:t>
            </w: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代理机构名称、机构代码、代理人姓名、执业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证号、电话号码，并勾选“声明已经与申请人</w:t>
            </w: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签订了专利代理委托书且本表中的信息与委托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15"/>
              </w:rPr>
              <w:t>书中相应信息一致”;申请人未委托专利代理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16"/>
              </w:rPr>
              <w:t>机构的，准确填写联系人(申请单位工作人员)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>姓名、通信地址和电话号码。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9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02"/>
              <w:spacing w:before="65" w:line="232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9"/>
              </w:rPr>
              <w:t>5.正确勾选“不丧失新颖性宽限期声明”、“相</w:t>
            </w:r>
            <w:r>
              <w:rPr>
                <w:rFonts w:ascii="SimSun" w:hAnsi="SimSun" w:eastAsia="SimSun" w:cs="SimSun"/>
                <w:sz w:val="26"/>
                <w:szCs w:val="26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19"/>
              </w:rPr>
              <w:t>似设计”、</w:t>
            </w:r>
            <w:r>
              <w:rPr>
                <w:rFonts w:ascii="SimSun" w:hAnsi="SimSun" w:eastAsia="SimSun" w:cs="SimSun"/>
                <w:sz w:val="26"/>
                <w:szCs w:val="26"/>
                <w:spacing w:val="18"/>
              </w:rPr>
              <w:t xml:space="preserve">    </w:t>
            </w:r>
            <w:r>
              <w:rPr>
                <w:rFonts w:ascii="SimSun" w:hAnsi="SimSun" w:eastAsia="SimSun" w:cs="SimSun"/>
                <w:sz w:val="26"/>
                <w:szCs w:val="26"/>
                <w:spacing w:val="-19"/>
              </w:rPr>
              <w:t>“成套产品”、</w:t>
            </w:r>
            <w:r>
              <w:rPr>
                <w:rFonts w:ascii="SimSun" w:hAnsi="SimSun" w:eastAsia="SimSun" w:cs="SimSun"/>
                <w:sz w:val="26"/>
                <w:szCs w:val="26"/>
                <w:spacing w:val="18"/>
              </w:rPr>
              <w:t xml:space="preserve">    </w:t>
            </w:r>
            <w:r>
              <w:rPr>
                <w:rFonts w:ascii="SimSun" w:hAnsi="SimSun" w:eastAsia="SimSun" w:cs="SimSun"/>
                <w:sz w:val="26"/>
                <w:szCs w:val="26"/>
                <w:spacing w:val="-19"/>
              </w:rPr>
              <w:t>“局部设计”。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9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02" w:right="226"/>
              <w:spacing w:before="87" w:line="226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6.已勾选“申请人声明，放弃专利法实施细则</w:t>
            </w:r>
            <w:r>
              <w:rPr>
                <w:rFonts w:ascii="SimSun" w:hAnsi="SimSun" w:eastAsia="SimSun" w:cs="SimSun"/>
                <w:sz w:val="27"/>
                <w:szCs w:val="27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0"/>
              </w:rPr>
              <w:t>第51条规定的主动修改的权利”。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49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02" w:right="158"/>
              <w:spacing w:before="56" w:line="238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7.准确填写申请文件清单，核实总委托书备案</w:t>
            </w: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>编号等附加文件清单信息，如填写总委托书备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案编号，需要在预审系统其它文件中提交备案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回执图片或其他相关证明文件。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9" w:hRule="atLeast"/>
        </w:trPr>
        <w:tc>
          <w:tcPr>
            <w:tcW w:w="13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75" w:right="66" w:firstLine="70"/>
              <w:spacing w:before="88" w:line="23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外观设计</w:t>
            </w: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图片/照片</w:t>
            </w:r>
          </w:p>
        </w:tc>
        <w:tc>
          <w:tcPr>
            <w:tcW w:w="5883" w:type="dxa"/>
            <w:vAlign w:val="top"/>
          </w:tcPr>
          <w:p>
            <w:pPr>
              <w:ind w:left="102" w:right="255"/>
              <w:spacing w:before="169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1.外观设计没有违反法律、社会公德或妨害公</w:t>
            </w: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33"/>
              </w:rPr>
              <w:t>共利益。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9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02" w:right="195"/>
              <w:spacing w:before="151" w:line="233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>2.外观设计不是对平面印刷品的图案、色彩或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者二者的结合作出的主要起标识作用的设计。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0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02" w:right="235"/>
              <w:spacing w:before="152" w:line="22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3.该外观设计不是现有设计(没有通过网络、</w:t>
            </w:r>
            <w:r>
              <w:rPr>
                <w:rFonts w:ascii="SimSun" w:hAnsi="SimSun" w:eastAsia="SimSun" w:cs="SimSun"/>
                <w:sz w:val="27"/>
                <w:szCs w:val="27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9"/>
              </w:rPr>
              <w:t>书刊或销售等方式公开)。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4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02" w:right="235"/>
              <w:spacing w:before="141" w:line="236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4.外观设计视图数量足以表现整体设计要点，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并正确名称及其标注。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10" w:h="16840"/>
          <w:pgMar w:top="1431" w:right="1445" w:bottom="1151" w:left="1554" w:header="0" w:footer="852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20" w:lineRule="exact"/>
        <w:rPr/>
      </w:pPr>
      <w:r/>
    </w:p>
    <w:tbl>
      <w:tblPr>
        <w:tblStyle w:val="2"/>
        <w:tblW w:w="88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93"/>
        <w:gridCol w:w="5873"/>
        <w:gridCol w:w="1623"/>
      </w:tblGrid>
      <w:tr>
        <w:trPr>
          <w:trHeight w:val="1454" w:hRule="atLeast"/>
        </w:trPr>
        <w:tc>
          <w:tcPr>
            <w:tcW w:w="13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02" w:right="179"/>
              <w:spacing w:before="55" w:line="239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5.图片参照我国技术制图和机械制图国家标准</w:t>
            </w: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中有关正投影关系、线条宽度以及剖切标记的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规定绘制，并一粗细均匀的实线表达外观设计</w:t>
            </w: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7"/>
              </w:rPr>
              <w:t>的形状(如提交绘制图片)。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99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02" w:right="169"/>
              <w:spacing w:before="181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6.照片满足：显示清晰、背景单一、拍摄遵循</w:t>
            </w:r>
            <w:r>
              <w:rPr>
                <w:rFonts w:ascii="SimSun" w:hAnsi="SimSun" w:eastAsia="SimSun" w:cs="SimSun"/>
                <w:sz w:val="27"/>
                <w:szCs w:val="27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正投影规则、无强烈光影影响、合理使用内衬</w:t>
            </w: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37"/>
              </w:rPr>
              <w:t>物(如涉及)的要求(如提交拍摄照片)。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02"/>
              <w:spacing w:before="113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7.图片或照片的各视图比例一致。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29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02" w:right="179"/>
              <w:spacing w:before="190" w:line="237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>8.如存在细长物品绘制省略中间长度时，正确</w:t>
            </w: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使用两条平行的双点划线或自然断裂线断开的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11"/>
              </w:rPr>
              <w:t>画</w:t>
            </w:r>
            <w:r>
              <w:rPr>
                <w:rFonts w:ascii="SimSun" w:hAnsi="SimSun" w:eastAsia="SimSun" w:cs="SimSun"/>
                <w:sz w:val="27"/>
                <w:szCs w:val="27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11"/>
              </w:rPr>
              <w:t>法</w:t>
            </w:r>
            <w:r>
              <w:rPr>
                <w:rFonts w:ascii="SimSun" w:hAnsi="SimSun" w:eastAsia="SimSun" w:cs="SimSun"/>
                <w:sz w:val="27"/>
                <w:szCs w:val="27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11"/>
              </w:rPr>
              <w:t>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02" w:right="204"/>
              <w:spacing w:before="184" w:line="236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>9.如存在剖视图，剖面线、剖切位置线、符号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2"/>
              </w:rPr>
              <w:t>及方向完整。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9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02" w:right="110"/>
              <w:spacing w:before="185" w:line="22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10.如存在局部放大图，已在有关视图中标出放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6"/>
              </w:rPr>
              <w:t>大的部位。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19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02" w:right="213"/>
              <w:spacing w:before="187" w:line="239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>11.组装关系唯一的组件产品有组合状态的视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>图；无组装关系或组装关系不唯一的组件产品</w:t>
            </w: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不缺少必要的单个构件的视图。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9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02" w:right="86" w:firstLine="10"/>
              <w:spacing w:before="216" w:line="233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12.透明产品的外观设计，外层与内层有两种以</w:t>
            </w:r>
            <w:r>
              <w:rPr>
                <w:rFonts w:ascii="SimSun" w:hAnsi="SimSun" w:eastAsia="SimSun" w:cs="SimSun"/>
                <w:sz w:val="27"/>
                <w:szCs w:val="27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上形状、图案和色彩时，分别表示出来。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0" w:hRule="atLeast"/>
        </w:trPr>
        <w:tc>
          <w:tcPr>
            <w:tcW w:w="13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>简要说明</w:t>
            </w:r>
          </w:p>
        </w:tc>
        <w:tc>
          <w:tcPr>
            <w:tcW w:w="5873" w:type="dxa"/>
            <w:vAlign w:val="top"/>
          </w:tcPr>
          <w:p>
            <w:pPr>
              <w:ind w:left="102"/>
              <w:spacing w:before="139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>1.正确填写外观设计名称。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02"/>
              <w:spacing w:before="13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2.准确填写外观设计产品的用途。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0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02"/>
              <w:spacing w:before="140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3.准确填写外观设计的设计要点。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9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02" w:right="178"/>
              <w:spacing w:before="227" w:line="234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4.准确指定一幅最能表明设计要点的图片或照</w:t>
            </w: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9"/>
              </w:rPr>
              <w:t>片</w:t>
            </w:r>
            <w:r>
              <w:rPr>
                <w:rFonts w:ascii="SimSun" w:hAnsi="SimSun" w:eastAsia="SimSun" w:cs="SimSun"/>
                <w:sz w:val="27"/>
                <w:szCs w:val="27"/>
                <w:spacing w:val="56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9"/>
              </w:rPr>
              <w:t>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4" w:hRule="atLeast"/>
        </w:trPr>
        <w:tc>
          <w:tcPr>
            <w:tcW w:w="13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3" w:type="dxa"/>
            <w:vAlign w:val="top"/>
          </w:tcPr>
          <w:p>
            <w:pPr>
              <w:ind w:left="102" w:right="207"/>
              <w:spacing w:before="209" w:line="243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>5.简要说明没有使用商业性宣传用语，也没有</w:t>
            </w: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用来说明产品的性能和内部结构。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10" w:h="16840"/>
          <w:pgMar w:top="1431" w:right="1465" w:bottom="1123" w:left="1544" w:header="0" w:footer="835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20" w:lineRule="exact"/>
        <w:rPr/>
      </w:pPr>
      <w:r/>
    </w:p>
    <w:tbl>
      <w:tblPr>
        <w:tblStyle w:val="2"/>
        <w:tblW w:w="89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03"/>
        <w:gridCol w:w="5883"/>
        <w:gridCol w:w="1623"/>
      </w:tblGrid>
      <w:tr>
        <w:trPr>
          <w:trHeight w:val="2348" w:hRule="atLeast"/>
        </w:trPr>
        <w:tc>
          <w:tcPr>
            <w:tcW w:w="14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84" w:right="148" w:hanging="129"/>
              <w:spacing w:before="87" w:line="23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专利代理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委托书</w:t>
            </w:r>
          </w:p>
        </w:tc>
        <w:tc>
          <w:tcPr>
            <w:tcW w:w="5883" w:type="dxa"/>
            <w:vAlign w:val="top"/>
          </w:tcPr>
          <w:p>
            <w:pPr>
              <w:ind w:left="132"/>
              <w:spacing w:before="148" w:line="255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9"/>
              </w:rPr>
              <w:t>1.申请人委托专利代理机构的，应当提交委托</w:t>
            </w: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26"/>
                <w:szCs w:val="26"/>
                <w:spacing w:val="13"/>
              </w:rPr>
              <w:t>书。委托书应当写明委托权限、发明创造名称、</w:t>
            </w: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12"/>
              </w:rPr>
              <w:t>专利代理机构名称、专利代理人姓名，并应当</w:t>
            </w: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6"/>
                <w:szCs w:val="26"/>
                <w:spacing w:val="12"/>
              </w:rPr>
              <w:t>与请求书中填写的内容相一致。申请人已向专</w:t>
            </w:r>
            <w:r>
              <w:rPr>
                <w:rFonts w:ascii="SimSun" w:hAnsi="SimSun" w:eastAsia="SimSun" w:cs="SimSun"/>
                <w:sz w:val="26"/>
                <w:szCs w:val="26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6"/>
                <w:szCs w:val="26"/>
                <w:spacing w:val="13"/>
              </w:rPr>
              <w:t>利局交存总委托书的，可以不再提交专利代理</w:t>
            </w:r>
            <w:r>
              <w:rPr>
                <w:rFonts w:ascii="SimSun" w:hAnsi="SimSun" w:eastAsia="SimSun" w:cs="SimSun"/>
                <w:sz w:val="26"/>
                <w:szCs w:val="26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26"/>
                <w:szCs w:val="26"/>
                <w:spacing w:val="11"/>
              </w:rPr>
              <w:t>委托书原件，而提交总委托书编号及备案回执。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2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3" w:type="dxa"/>
            <w:vAlign w:val="top"/>
          </w:tcPr>
          <w:p>
            <w:pPr>
              <w:ind w:left="132" w:right="209"/>
              <w:spacing w:before="197" w:line="222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2.申请人有两个以上的，应当由全体申请人签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2"/>
              </w:rPr>
              <w:t>字或者盖章。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5"/>
        <w:spacing w:before="54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22"/>
        </w:rPr>
        <w:t>注意事项：</w:t>
      </w:r>
    </w:p>
    <w:p>
      <w:pPr>
        <w:ind w:left="658"/>
        <w:spacing w:before="10" w:line="220" w:lineRule="auto"/>
        <w:outlineLvl w:val="1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30"/>
        </w:rPr>
        <w:t>1.自检结果符合要求请划“</w:t>
      </w:r>
      <w:r>
        <w:rPr>
          <w:rFonts w:ascii="FangSong" w:hAnsi="FangSong" w:eastAsia="FangSong" w:cs="FangSong"/>
          <w:sz w:val="27"/>
          <w:szCs w:val="27"/>
          <w:spacing w:val="-66"/>
        </w:rPr>
        <w:t xml:space="preserve"> </w:t>
      </w:r>
      <w:r>
        <w:rPr>
          <w:rFonts w:ascii="FangSong" w:hAnsi="FangSong" w:eastAsia="FangSong" w:cs="FangSong"/>
          <w:sz w:val="27"/>
          <w:szCs w:val="27"/>
          <w:b/>
          <w:bCs/>
          <w:spacing w:val="-30"/>
        </w:rPr>
        <w:t>√”,</w:t>
      </w:r>
      <w:r>
        <w:rPr>
          <w:rFonts w:ascii="FangSong" w:hAnsi="FangSong" w:eastAsia="FangSong" w:cs="FangSong"/>
          <w:sz w:val="27"/>
          <w:szCs w:val="27"/>
          <w:spacing w:val="-45"/>
        </w:rPr>
        <w:t xml:space="preserve"> </w:t>
      </w:r>
      <w:r>
        <w:rPr>
          <w:rFonts w:ascii="FangSong" w:hAnsi="FangSong" w:eastAsia="FangSong" w:cs="FangSong"/>
          <w:sz w:val="27"/>
          <w:szCs w:val="27"/>
          <w:b/>
          <w:bCs/>
          <w:spacing w:val="-30"/>
        </w:rPr>
        <w:t>WORD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 </w:t>
      </w:r>
      <w:r>
        <w:rPr>
          <w:rFonts w:ascii="FangSong" w:hAnsi="FangSong" w:eastAsia="FangSong" w:cs="FangSong"/>
          <w:sz w:val="27"/>
          <w:szCs w:val="27"/>
          <w:b/>
          <w:bCs/>
          <w:spacing w:val="-30"/>
        </w:rPr>
        <w:t>版本和扫</w:t>
      </w:r>
      <w:r>
        <w:rPr>
          <w:rFonts w:ascii="FangSong" w:hAnsi="FangSong" w:eastAsia="FangSong" w:cs="FangSong"/>
          <w:sz w:val="27"/>
          <w:szCs w:val="27"/>
          <w:b/>
          <w:bCs/>
          <w:spacing w:val="-31"/>
        </w:rPr>
        <w:t>描版本都为有效。</w:t>
      </w:r>
    </w:p>
    <w:p>
      <w:pPr>
        <w:ind w:left="748" w:right="25" w:hanging="93"/>
        <w:spacing w:before="9" w:line="207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-33"/>
        </w:rPr>
        <w:t>2.</w:t>
      </w:r>
      <w:r>
        <w:rPr>
          <w:rFonts w:ascii="FangSong" w:hAnsi="FangSong" w:eastAsia="FangSong" w:cs="FangSong"/>
          <w:sz w:val="27"/>
          <w:szCs w:val="27"/>
          <w:b/>
          <w:bCs/>
          <w:spacing w:val="-33"/>
        </w:rPr>
        <w:t>受理领域范围：属于海洋或者新一代信息技术产业领域，具体以分类号</w:t>
      </w:r>
      <w:r>
        <w:rPr>
          <w:rFonts w:ascii="FangSong" w:hAnsi="FangSong" w:eastAsia="FangSong" w:cs="FangSong"/>
          <w:sz w:val="27"/>
          <w:szCs w:val="27"/>
          <w:spacing w:val="-33"/>
        </w:rPr>
        <w:t>为准。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</w:t>
      </w:r>
      <w:r>
        <w:rPr>
          <w:rFonts w:ascii="FangSong" w:hAnsi="FangSong" w:eastAsia="FangSong" w:cs="FangSong"/>
          <w:sz w:val="27"/>
          <w:szCs w:val="27"/>
          <w:b/>
          <w:bCs/>
          <w:spacing w:val="-33"/>
        </w:rPr>
        <w:t>自检单位应认真检查并填写自检表，所列自检项目全部符合要求的方可提交预</w:t>
      </w:r>
    </w:p>
    <w:p>
      <w:pPr>
        <w:ind w:left="45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9"/>
        </w:rPr>
        <w:t>审。</w:t>
      </w:r>
    </w:p>
    <w:p>
      <w:pPr>
        <w:ind w:left="655"/>
        <w:spacing w:before="112" w:line="490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7"/>
          <w:position w:val="16"/>
        </w:rPr>
        <w:t>自检单位名称(加盖公章):</w:t>
      </w:r>
    </w:p>
    <w:p>
      <w:pPr>
        <w:ind w:left="655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5"/>
        </w:rPr>
        <w:t>自检人姓名：</w:t>
      </w:r>
    </w:p>
    <w:p>
      <w:pPr>
        <w:ind w:left="655"/>
        <w:spacing w:before="168" w:line="490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3"/>
          <w:position w:val="16"/>
        </w:rPr>
        <w:t>自检人联系电话：</w:t>
      </w:r>
    </w:p>
    <w:p>
      <w:pPr>
        <w:ind w:left="655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6"/>
        </w:rPr>
        <w:t>自检日期：</w:t>
      </w:r>
    </w:p>
    <w:p>
      <w:pPr>
        <w:ind w:left="71"/>
        <w:spacing w:before="199" w:line="21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i/>
          <w:iCs/>
          <w:u w:val="single" w:color="auto"/>
          <w:spacing w:val="-2"/>
        </w:rPr>
        <w:t>注：自检单位指实际提交单位，如委托代理机构申请的填写代理机构</w:t>
      </w:r>
      <w:r>
        <w:rPr>
          <w:rFonts w:ascii="FangSong" w:hAnsi="FangSong" w:eastAsia="FangSong" w:cs="FangSong"/>
          <w:sz w:val="28"/>
          <w:szCs w:val="28"/>
          <w:i/>
          <w:iCs/>
          <w:u w:val="single" w:color="auto"/>
          <w:spacing w:val="-3"/>
        </w:rPr>
        <w:t>信息</w:t>
      </w:r>
    </w:p>
    <w:p>
      <w:pPr>
        <w:sectPr>
          <w:footerReference w:type="default" r:id="rId25"/>
          <w:pgSz w:w="11910" w:h="16840"/>
          <w:pgMar w:top="1431" w:right="1419" w:bottom="1089" w:left="1524" w:header="0" w:footer="821" w:gutter="0"/>
        </w:sectPr>
        <w:rPr/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984229</wp:posOffset>
            </wp:positionH>
            <wp:positionV relativeFrom="page">
              <wp:posOffset>9175773</wp:posOffset>
            </wp:positionV>
            <wp:extent cx="5657843" cy="6350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784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984229</wp:posOffset>
            </wp:positionH>
            <wp:positionV relativeFrom="page">
              <wp:posOffset>9556777</wp:posOffset>
            </wp:positionV>
            <wp:extent cx="5676902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69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430"/>
        <w:spacing w:before="85" w:line="2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29"/>
        </w:rPr>
        <w:t>山东省国家知识产权保护中心</w:t>
      </w:r>
      <w:r>
        <w:rPr>
          <w:rFonts w:ascii="FangSong" w:hAnsi="FangSong" w:eastAsia="FangSong" w:cs="FangSong"/>
          <w:sz w:val="26"/>
          <w:szCs w:val="26"/>
          <w:spacing w:val="10"/>
        </w:rPr>
        <w:t xml:space="preserve">            </w:t>
      </w:r>
      <w:r>
        <w:rPr>
          <w:rFonts w:ascii="FangSong" w:hAnsi="FangSong" w:eastAsia="FangSong" w:cs="FangSong"/>
          <w:sz w:val="26"/>
          <w:szCs w:val="26"/>
          <w:spacing w:val="29"/>
        </w:rPr>
        <w:t>2023年10月10日印发</w:t>
      </w:r>
    </w:p>
    <w:sectPr>
      <w:footerReference w:type="default" r:id="rId11"/>
      <w:pgSz w:w="11910" w:h="16840"/>
      <w:pgMar w:top="1431" w:right="1420" w:bottom="400" w:left="154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75"/>
      <w:spacing w:before="1" w:line="183" w:lineRule="auto"/>
      <w:jc w:val="right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color w:val="F51800"/>
        <w:spacing w:val="-16"/>
      </w:rPr>
      <w:t>—</w:t>
    </w:r>
    <w:r>
      <w:rPr>
        <w:rFonts w:ascii="SimSun" w:hAnsi="SimSun" w:eastAsia="SimSun" w:cs="SimSun"/>
        <w:sz w:val="33"/>
        <w:szCs w:val="33"/>
        <w:color w:val="F51800"/>
        <w:spacing w:val="-128"/>
      </w:rPr>
      <w:t xml:space="preserve"> </w:t>
    </w:r>
    <w:r>
      <w:rPr>
        <w:rFonts w:ascii="SimSun" w:hAnsi="SimSun" w:eastAsia="SimSun" w:cs="SimSun"/>
        <w:sz w:val="33"/>
        <w:szCs w:val="33"/>
        <w:color w:val="F51800"/>
        <w:spacing w:val="-16"/>
      </w:rPr>
      <w:t>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1"/>
      </w:rPr>
      <w:t>—</w:t>
    </w:r>
    <w:r>
      <w:rPr>
        <w:rFonts w:ascii="SimSun" w:hAnsi="SimSun" w:eastAsia="SimSun" w:cs="SimSun"/>
        <w:sz w:val="29"/>
        <w:szCs w:val="29"/>
        <w:spacing w:val="-111"/>
      </w:rPr>
      <w:t xml:space="preserve"> </w:t>
    </w:r>
    <w:r>
      <w:rPr>
        <w:rFonts w:ascii="SimSun" w:hAnsi="SimSun" w:eastAsia="SimSun" w:cs="SimSun"/>
        <w:sz w:val="29"/>
        <w:szCs w:val="29"/>
        <w:spacing w:val="-11"/>
      </w:rPr>
      <w:t>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44"/>
      <w:spacing w:before="1"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2"/>
      </w:rPr>
      <w:t>—</w:t>
    </w:r>
    <w:r>
      <w:rPr>
        <w:rFonts w:ascii="SimSun" w:hAnsi="SimSun" w:eastAsia="SimSun" w:cs="SimSun"/>
        <w:sz w:val="31"/>
        <w:szCs w:val="31"/>
        <w:spacing w:val="-118"/>
      </w:rPr>
      <w:t xml:space="preserve"> </w:t>
    </w:r>
    <w:r>
      <w:rPr>
        <w:rFonts w:ascii="SimSun" w:hAnsi="SimSun" w:eastAsia="SimSun" w:cs="SimSun"/>
        <w:sz w:val="31"/>
        <w:szCs w:val="31"/>
        <w:spacing w:val="-12"/>
      </w:rPr>
      <w:t>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2"/>
      </w:rPr>
      <w:t>—</w:t>
    </w:r>
    <w:r>
      <w:rPr>
        <w:rFonts w:ascii="SimSun" w:hAnsi="SimSun" w:eastAsia="SimSun" w:cs="SimSun"/>
        <w:sz w:val="31"/>
        <w:szCs w:val="31"/>
        <w:spacing w:val="-118"/>
      </w:rPr>
      <w:t xml:space="preserve"> </w:t>
    </w:r>
    <w:r>
      <w:rPr>
        <w:rFonts w:ascii="SimSun" w:hAnsi="SimSun" w:eastAsia="SimSun" w:cs="SimSun"/>
        <w:sz w:val="31"/>
        <w:szCs w:val="31"/>
        <w:spacing w:val="-12"/>
      </w:rPr>
      <w:t>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59"/>
      <w:spacing w:before="1" w:line="18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1"/>
      </w:rPr>
      <w:t>—</w:t>
    </w:r>
    <w:r>
      <w:rPr>
        <w:rFonts w:ascii="SimSun" w:hAnsi="SimSun" w:eastAsia="SimSun" w:cs="SimSun"/>
        <w:sz w:val="29"/>
        <w:szCs w:val="29"/>
        <w:spacing w:val="-111"/>
      </w:rPr>
      <w:t xml:space="preserve"> </w:t>
    </w:r>
    <w:r>
      <w:rPr>
        <w:rFonts w:ascii="SimSun" w:hAnsi="SimSun" w:eastAsia="SimSun" w:cs="SimSun"/>
        <w:sz w:val="29"/>
        <w:szCs w:val="29"/>
        <w:spacing w:val="-11"/>
      </w:rPr>
      <w:t>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2"/>
      </w:rPr>
      <w:t>—</w:t>
    </w:r>
    <w:r>
      <w:rPr>
        <w:rFonts w:ascii="SimSun" w:hAnsi="SimSun" w:eastAsia="SimSun" w:cs="SimSun"/>
        <w:sz w:val="31"/>
        <w:szCs w:val="31"/>
        <w:spacing w:val="-118"/>
      </w:rPr>
      <w:t xml:space="preserve"> </w:t>
    </w:r>
    <w:r>
      <w:rPr>
        <w:rFonts w:ascii="SimSun" w:hAnsi="SimSun" w:eastAsia="SimSun" w:cs="SimSun"/>
        <w:sz w:val="31"/>
        <w:szCs w:val="31"/>
        <w:spacing w:val="-12"/>
      </w:rPr>
      <w:t>14—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73"/>
      <w:spacing w:before="1" w:line="18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1"/>
      </w:rPr>
      <w:t>—</w:t>
    </w:r>
    <w:r>
      <w:rPr>
        <w:rFonts w:ascii="SimSun" w:hAnsi="SimSun" w:eastAsia="SimSun" w:cs="SimSun"/>
        <w:sz w:val="29"/>
        <w:szCs w:val="29"/>
        <w:spacing w:val="-111"/>
      </w:rPr>
      <w:t xml:space="preserve"> </w:t>
    </w:r>
    <w:r>
      <w:rPr>
        <w:rFonts w:ascii="SimSun" w:hAnsi="SimSun" w:eastAsia="SimSun" w:cs="SimSun"/>
        <w:sz w:val="29"/>
        <w:szCs w:val="29"/>
        <w:spacing w:val="-11"/>
      </w:rPr>
      <w:t>15—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4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0"/>
      </w:rPr>
      <w:t>16—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34"/>
      <w:spacing w:before="1" w:line="18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1"/>
      </w:rPr>
      <w:t>—</w:t>
    </w:r>
    <w:r>
      <w:rPr>
        <w:rFonts w:ascii="SimSun" w:hAnsi="SimSun" w:eastAsia="SimSun" w:cs="SimSun"/>
        <w:sz w:val="29"/>
        <w:szCs w:val="29"/>
        <w:spacing w:val="-111"/>
      </w:rPr>
      <w:t xml:space="preserve"> </w:t>
    </w:r>
    <w:r>
      <w:rPr>
        <w:rFonts w:ascii="SimSun" w:hAnsi="SimSun" w:eastAsia="SimSun" w:cs="SimSun"/>
        <w:sz w:val="29"/>
        <w:szCs w:val="29"/>
        <w:spacing w:val="-11"/>
      </w:rPr>
      <w:t>17—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4"/>
      <w:spacing w:before="1"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1"/>
      </w:rPr>
      <w:t>—</w:t>
    </w:r>
    <w:r>
      <w:rPr>
        <w:rFonts w:ascii="SimSun" w:hAnsi="SimSun" w:eastAsia="SimSun" w:cs="SimSun"/>
        <w:sz w:val="29"/>
        <w:szCs w:val="29"/>
        <w:spacing w:val="-111"/>
      </w:rPr>
      <w:t xml:space="preserve"> </w:t>
    </w:r>
    <w:r>
      <w:rPr>
        <w:rFonts w:ascii="SimSun" w:hAnsi="SimSun" w:eastAsia="SimSun" w:cs="SimSun"/>
        <w:sz w:val="29"/>
        <w:szCs w:val="29"/>
        <w:spacing w:val="-11"/>
      </w:rPr>
      <w:t>18—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13"/>
      <w:spacing w:before="1"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0"/>
      </w:rPr>
      <w:t>19—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—2—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"/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—20—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44"/>
      <w:spacing w:before="1" w:line="183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—21—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"/>
      <w:spacing w:before="1" w:line="182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—22—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48"/>
      <w:spacing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29"/>
      <w:spacing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89"/>
      <w:spacing w:before="1" w:line="181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38"/>
      <w:spacing w:before="1" w:line="181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0" Type="http://schemas.openxmlformats.org/officeDocument/2006/relationships/fontTable" Target="fontTable.xml"/><Relationship Id="rId3" Type="http://schemas.openxmlformats.org/officeDocument/2006/relationships/image" Target="media/image2.png"/><Relationship Id="rId29" Type="http://schemas.openxmlformats.org/officeDocument/2006/relationships/styles" Target="styles.xml"/><Relationship Id="rId28" Type="http://schemas.openxmlformats.org/officeDocument/2006/relationships/settings" Target="settings.xml"/><Relationship Id="rId27" Type="http://schemas.openxmlformats.org/officeDocument/2006/relationships/image" Target="media/image4.png"/><Relationship Id="rId26" Type="http://schemas.openxmlformats.org/officeDocument/2006/relationships/image" Target="media/image3.png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image" Target="media/image1.jpeg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2023-10-10T17:23:54Z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2023-10-10T17:23:56</vt:filetime>
  </property>
  <property fmtid="{D5CDD505-2E9C-101B-9397-08002B2CF9AE}" pid="4" name="UsrData">
    <vt:lpwstr>652518255642dc002065298ewl</vt:lpwstr>
  </property>
</Properties>
</file>